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69C2" w14:textId="77777777" w:rsidR="00E71858" w:rsidRPr="00755CEF" w:rsidRDefault="00E71858" w:rsidP="00755CEF">
      <w:pPr>
        <w:autoSpaceDE w:val="0"/>
        <w:autoSpaceDN w:val="0"/>
        <w:adjustRightInd w:val="0"/>
        <w:spacing w:line="276" w:lineRule="auto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</w:pPr>
    </w:p>
    <w:p w14:paraId="08D9FF30" w14:textId="77777777" w:rsidR="00244A31" w:rsidRPr="00755CEF" w:rsidRDefault="00960D1B" w:rsidP="00755CEF">
      <w:pPr>
        <w:autoSpaceDE w:val="0"/>
        <w:autoSpaceDN w:val="0"/>
        <w:adjustRightInd w:val="0"/>
        <w:spacing w:line="276" w:lineRule="auto"/>
        <w:jc w:val="center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</w:pPr>
      <w:r w:rsidRPr="00755CEF"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  <w:t>ESPECIFICACIONES TÉCNICAS Y ADMINISTRATIVAS</w:t>
      </w:r>
    </w:p>
    <w:p w14:paraId="2E1F8165" w14:textId="77777777" w:rsidR="00A04A00" w:rsidRPr="00755CEF" w:rsidRDefault="00E71858" w:rsidP="00755CEF">
      <w:pPr>
        <w:autoSpaceDE w:val="0"/>
        <w:autoSpaceDN w:val="0"/>
        <w:adjustRightInd w:val="0"/>
        <w:spacing w:line="276" w:lineRule="auto"/>
        <w:jc w:val="center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</w:pPr>
      <w:r w:rsidRPr="00755CEF"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  <w:t>COMPRA ÁGIL</w:t>
      </w:r>
    </w:p>
    <w:p w14:paraId="09B3D8EF" w14:textId="77777777" w:rsidR="009B40B6" w:rsidRPr="00755CEF" w:rsidRDefault="009B40B6" w:rsidP="00755CEF">
      <w:pPr>
        <w:autoSpaceDE w:val="0"/>
        <w:autoSpaceDN w:val="0"/>
        <w:adjustRightInd w:val="0"/>
        <w:spacing w:line="276" w:lineRule="auto"/>
        <w:jc w:val="center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</w:pPr>
    </w:p>
    <w:p w14:paraId="5396091D" w14:textId="3B5338C2" w:rsidR="009B40B6" w:rsidRPr="00755CEF" w:rsidRDefault="00B25090" w:rsidP="00755CEF">
      <w:pPr>
        <w:spacing w:line="276" w:lineRule="auto"/>
        <w:jc w:val="center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 w:eastAsia="en-US"/>
        </w:rPr>
      </w:pPr>
      <w:bookmarkStart w:id="0" w:name="_Hlk130294833"/>
      <w:r w:rsidRPr="00755CEF"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 w:eastAsia="en-US"/>
        </w:rPr>
        <w:t xml:space="preserve">Contratación de </w:t>
      </w:r>
      <w:r w:rsidR="00637625"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 w:eastAsia="en-US"/>
        </w:rPr>
        <w:t>servicios de gasfitería</w:t>
      </w:r>
    </w:p>
    <w:bookmarkEnd w:id="0"/>
    <w:p w14:paraId="3DE87188" w14:textId="77777777" w:rsidR="009B40B6" w:rsidRPr="00755CEF" w:rsidRDefault="009B40B6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</w:p>
    <w:p w14:paraId="195839A3" w14:textId="77777777" w:rsidR="00E817AA" w:rsidRPr="00755CEF" w:rsidRDefault="00E817AA" w:rsidP="005A2042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Antecedentes:</w:t>
      </w:r>
    </w:p>
    <w:p w14:paraId="68A7E3C6" w14:textId="77777777" w:rsidR="00E817AA" w:rsidRPr="00755CEF" w:rsidRDefault="00E817AA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</w:p>
    <w:p w14:paraId="4C63177A" w14:textId="754B3824" w:rsidR="00637625" w:rsidRPr="00637625" w:rsidRDefault="00F31CDB" w:rsidP="00637625">
      <w:pPr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snapToGrid w:val="0"/>
          <w:sz w:val="24"/>
          <w:szCs w:val="24"/>
          <w:lang w:val="es-CL"/>
        </w:rPr>
        <w:t xml:space="preserve">El Centro de Formación Técnica de la Región Metropolitana de Santiago </w:t>
      </w:r>
      <w:r w:rsidR="00637625" w:rsidRPr="00637625">
        <w:rPr>
          <w:rFonts w:ascii="Calibri" w:hAnsi="Calibri" w:cs="Calibri"/>
          <w:snapToGrid w:val="0"/>
          <w:sz w:val="24"/>
          <w:szCs w:val="24"/>
          <w:lang w:val="es-CL"/>
        </w:rPr>
        <w:t xml:space="preserve">requiere la revisión y reparación respecto de los baños del piso 6°,7°, 8°y 9° del edificio ocupado por al CFT Estatal, ubicado en calle Agustinas </w:t>
      </w:r>
      <w:proofErr w:type="spellStart"/>
      <w:r w:rsidR="00637625" w:rsidRPr="00637625">
        <w:rPr>
          <w:rFonts w:ascii="Calibri" w:hAnsi="Calibri" w:cs="Calibri"/>
          <w:snapToGrid w:val="0"/>
          <w:sz w:val="24"/>
          <w:szCs w:val="24"/>
          <w:lang w:val="es-CL"/>
        </w:rPr>
        <w:t>N°</w:t>
      </w:r>
      <w:proofErr w:type="spellEnd"/>
      <w:r w:rsidR="00637625" w:rsidRPr="00637625">
        <w:rPr>
          <w:rFonts w:ascii="Calibri" w:hAnsi="Calibri" w:cs="Calibri"/>
          <w:snapToGrid w:val="0"/>
          <w:sz w:val="24"/>
          <w:szCs w:val="24"/>
          <w:lang w:val="es-CL"/>
        </w:rPr>
        <w:t xml:space="preserve"> 1476, Santiago</w:t>
      </w:r>
      <w:r w:rsidR="00637625">
        <w:rPr>
          <w:rFonts w:ascii="Calibri" w:hAnsi="Calibri" w:cs="Calibri"/>
          <w:snapToGrid w:val="0"/>
          <w:sz w:val="24"/>
          <w:szCs w:val="24"/>
          <w:lang w:val="es-CL"/>
        </w:rPr>
        <w:t>. El servicio es requerido a la brevedad.</w:t>
      </w:r>
    </w:p>
    <w:p w14:paraId="7FC48EBF" w14:textId="1088937E" w:rsidR="00CC7294" w:rsidRPr="00755CEF" w:rsidRDefault="00CC7294" w:rsidP="00755CEF">
      <w:pPr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073708F3" w14:textId="5EFC15F5" w:rsidR="00690B40" w:rsidRPr="00755CEF" w:rsidRDefault="00E817AA" w:rsidP="00755CEF">
      <w:pPr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55CEF">
        <w:rPr>
          <w:rFonts w:ascii="Calibri" w:hAnsi="Calibri" w:cs="Calibri"/>
          <w:sz w:val="24"/>
          <w:szCs w:val="24"/>
        </w:rPr>
        <w:t>Para satisfacer el requerimiento</w:t>
      </w:r>
      <w:r w:rsidR="007E015A" w:rsidRPr="00755CEF">
        <w:rPr>
          <w:rFonts w:ascii="Calibri" w:hAnsi="Calibri" w:cs="Calibri"/>
          <w:sz w:val="24"/>
          <w:szCs w:val="24"/>
        </w:rPr>
        <w:t xml:space="preserve"> </w:t>
      </w:r>
      <w:r w:rsidR="00F31CDB" w:rsidRPr="00755CEF">
        <w:rPr>
          <w:rFonts w:ascii="Calibri" w:hAnsi="Calibri" w:cs="Calibri"/>
          <w:sz w:val="24"/>
          <w:szCs w:val="24"/>
        </w:rPr>
        <w:t>el CFT</w:t>
      </w:r>
      <w:r w:rsidR="00CC7294" w:rsidRPr="00755CEF">
        <w:rPr>
          <w:rFonts w:ascii="Calibri" w:hAnsi="Calibri" w:cs="Calibri"/>
          <w:snapToGrid w:val="0"/>
          <w:sz w:val="24"/>
          <w:szCs w:val="24"/>
          <w:lang w:val="es-CL"/>
        </w:rPr>
        <w:t xml:space="preserve">, </w:t>
      </w:r>
      <w:r w:rsidR="001246C0" w:rsidRPr="00755CEF">
        <w:rPr>
          <w:rFonts w:ascii="Calibri" w:hAnsi="Calibri" w:cs="Calibri"/>
          <w:sz w:val="24"/>
          <w:szCs w:val="24"/>
        </w:rPr>
        <w:t xml:space="preserve">ha determinado la </w:t>
      </w:r>
      <w:r w:rsidR="00CC7294" w:rsidRPr="00755CEF">
        <w:rPr>
          <w:rFonts w:ascii="Calibri" w:hAnsi="Calibri" w:cs="Calibri"/>
          <w:sz w:val="24"/>
          <w:szCs w:val="24"/>
        </w:rPr>
        <w:t>contratación</w:t>
      </w:r>
      <w:r w:rsidR="001246C0" w:rsidRPr="00755CEF">
        <w:rPr>
          <w:rFonts w:ascii="Calibri" w:hAnsi="Calibri" w:cs="Calibri"/>
          <w:sz w:val="24"/>
          <w:szCs w:val="24"/>
        </w:rPr>
        <w:t xml:space="preserve"> mediante el </w:t>
      </w:r>
      <w:r w:rsidR="00F40654" w:rsidRPr="00755CEF">
        <w:rPr>
          <w:rFonts w:ascii="Calibri" w:hAnsi="Calibri" w:cs="Calibri"/>
          <w:sz w:val="24"/>
          <w:szCs w:val="24"/>
        </w:rPr>
        <w:t>procedimiento</w:t>
      </w:r>
      <w:r w:rsidR="001246C0" w:rsidRPr="00755CEF">
        <w:rPr>
          <w:rFonts w:ascii="Calibri" w:hAnsi="Calibri" w:cs="Calibri"/>
          <w:sz w:val="24"/>
          <w:szCs w:val="24"/>
        </w:rPr>
        <w:t xml:space="preserve"> de compra ágil en los términos previstos en el artículo </w:t>
      </w:r>
      <w:r w:rsidR="00000A9B" w:rsidRPr="00755CEF">
        <w:rPr>
          <w:rFonts w:ascii="Calibri" w:hAnsi="Calibri" w:cs="Calibri"/>
          <w:sz w:val="24"/>
          <w:szCs w:val="24"/>
        </w:rPr>
        <w:t>97, del Decreto N° 661, de 2024, del Ministerio de Hacienda</w:t>
      </w:r>
      <w:r w:rsidR="00690B40" w:rsidRPr="00755CEF">
        <w:rPr>
          <w:rFonts w:ascii="Calibri" w:hAnsi="Calibri" w:cs="Calibri"/>
          <w:sz w:val="24"/>
          <w:szCs w:val="24"/>
        </w:rPr>
        <w:t>.</w:t>
      </w:r>
    </w:p>
    <w:p w14:paraId="0C29EF3C" w14:textId="77777777" w:rsidR="00690B40" w:rsidRPr="00755CEF" w:rsidRDefault="00690B40" w:rsidP="00755CEF">
      <w:pPr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39144D5" w14:textId="7C4AB19D" w:rsidR="008353C1" w:rsidRPr="00755CEF" w:rsidRDefault="00A86BAD" w:rsidP="005A2042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Detalle de la compra ágil:</w:t>
      </w:r>
    </w:p>
    <w:p w14:paraId="32D413E5" w14:textId="77777777" w:rsidR="00A86BAD" w:rsidRPr="00755CEF" w:rsidRDefault="00A86BAD" w:rsidP="00755CEF">
      <w:pPr>
        <w:pStyle w:val="Prrafodelista"/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690B40" w:rsidRPr="00755CEF" w14:paraId="4C0366B9" w14:textId="77777777" w:rsidTr="00075096">
        <w:tc>
          <w:tcPr>
            <w:tcW w:w="4697" w:type="dxa"/>
            <w:vAlign w:val="center"/>
          </w:tcPr>
          <w:p w14:paraId="3D669EB7" w14:textId="598978B6" w:rsidR="00690B40" w:rsidRPr="00755CEF" w:rsidRDefault="00690B40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Detalle del Requerimiento</w:t>
            </w:r>
            <w:r w:rsidR="00075096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/ especificaciones obligatorias a ser cumplidas</w:t>
            </w:r>
          </w:p>
        </w:tc>
        <w:tc>
          <w:tcPr>
            <w:tcW w:w="4697" w:type="dxa"/>
            <w:vAlign w:val="center"/>
          </w:tcPr>
          <w:p w14:paraId="18E6F94F" w14:textId="77777777" w:rsidR="00750583" w:rsidRPr="00755CEF" w:rsidRDefault="00750583" w:rsidP="00755CEF">
            <w:pPr>
              <w:pStyle w:val="Prrafodelista"/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</w:pPr>
          </w:p>
          <w:p w14:paraId="6591E87D" w14:textId="1E74D997" w:rsidR="00690B40" w:rsidRPr="00755CEF" w:rsidRDefault="00637625" w:rsidP="00755CEF">
            <w:pPr>
              <w:pStyle w:val="Prrafodelista"/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Servicio de gasfitería</w:t>
            </w:r>
            <w:r w:rsidR="00184692"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:</w:t>
            </w:r>
          </w:p>
          <w:p w14:paraId="76DCA25D" w14:textId="77777777" w:rsidR="00637625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</w:rPr>
            </w:pPr>
          </w:p>
          <w:p w14:paraId="3A5D3AF6" w14:textId="419E7433" w:rsidR="00F31CDB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755CEF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 xml:space="preserve">Lugar de destino: </w:t>
            </w:r>
            <w:r w:rsidRPr="00755CEF">
              <w:rPr>
                <w:rFonts w:ascii="Calibri" w:hAnsi="Calibri" w:cs="Calibri"/>
                <w:noProof/>
                <w:sz w:val="24"/>
                <w:szCs w:val="24"/>
              </w:rPr>
              <w:t xml:space="preserve">Agustinas 1476, Santiago </w:t>
            </w:r>
          </w:p>
          <w:p w14:paraId="42D5972D" w14:textId="77777777" w:rsidR="00637625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</w:rPr>
            </w:pPr>
          </w:p>
          <w:p w14:paraId="38A142C7" w14:textId="77777777" w:rsidR="00637625" w:rsidRPr="00637625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CL"/>
              </w:rPr>
            </w:pPr>
            <w:r w:rsidRPr="00637625">
              <w:rPr>
                <w:rFonts w:ascii="Calibri" w:hAnsi="Calibri" w:cs="Calibri"/>
                <w:noProof/>
                <w:sz w:val="24"/>
                <w:szCs w:val="24"/>
                <w:lang w:val="es-CL"/>
              </w:rPr>
              <w:t>Se requiere la revisión y reparación respecto de los baños del piso 6°,7°, 8°y 9° del edificio ocupado por al CFT Estatal, ubicado en calle Agustinas N° 1476, Santiago.</w:t>
            </w:r>
          </w:p>
          <w:p w14:paraId="1D8BA409" w14:textId="77777777" w:rsidR="00637625" w:rsidRPr="00637625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CL"/>
              </w:rPr>
            </w:pPr>
            <w:r w:rsidRPr="00637625">
              <w:rPr>
                <w:rFonts w:ascii="Calibri" w:hAnsi="Calibri" w:cs="Calibri"/>
                <w:noProof/>
                <w:sz w:val="24"/>
                <w:szCs w:val="24"/>
                <w:lang w:val="es-CL"/>
              </w:rPr>
              <w:t>El detalle de la revisión y reparación necesaria se desglosa por piso a continuación:</w:t>
            </w:r>
          </w:p>
          <w:p w14:paraId="1120BBA6" w14:textId="77777777" w:rsidR="00637625" w:rsidRPr="00637625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CL"/>
              </w:rPr>
            </w:pPr>
            <w:r w:rsidRPr="00637625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s-CL"/>
              </w:rPr>
              <w:t>Piso 9 sur</w:t>
            </w:r>
            <w:r w:rsidRPr="00637625">
              <w:rPr>
                <w:rFonts w:ascii="Calibri" w:hAnsi="Calibri" w:cs="Calibri"/>
                <w:noProof/>
                <w:sz w:val="24"/>
                <w:szCs w:val="24"/>
                <w:lang w:val="es-CL"/>
              </w:rPr>
              <w:t>: baño 3 cambio de taza, baño 6 cambio sello anti-fuga y válvula.</w:t>
            </w:r>
          </w:p>
          <w:p w14:paraId="2FCB82A2" w14:textId="77777777" w:rsidR="00637625" w:rsidRPr="00637625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CL"/>
              </w:rPr>
            </w:pPr>
            <w:r w:rsidRPr="00637625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s-CL"/>
              </w:rPr>
              <w:t>Piso 8 norte</w:t>
            </w:r>
            <w:r w:rsidRPr="00637625">
              <w:rPr>
                <w:rFonts w:ascii="Calibri" w:hAnsi="Calibri" w:cs="Calibri"/>
                <w:noProof/>
                <w:sz w:val="24"/>
                <w:szCs w:val="24"/>
                <w:lang w:val="es-CL"/>
              </w:rPr>
              <w:t>: Destapar lavamanos 1 y 4, destapar 3 urinarios y cambio llave baño discapacitados.            </w:t>
            </w:r>
          </w:p>
          <w:p w14:paraId="2D5F4497" w14:textId="77777777" w:rsidR="00637625" w:rsidRPr="00637625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CL"/>
              </w:rPr>
            </w:pPr>
            <w:r w:rsidRPr="00637625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s-CL"/>
              </w:rPr>
              <w:t>piso 8 sur</w:t>
            </w:r>
            <w:r w:rsidRPr="00637625">
              <w:rPr>
                <w:rFonts w:ascii="Calibri" w:hAnsi="Calibri" w:cs="Calibri"/>
                <w:noProof/>
                <w:sz w:val="24"/>
                <w:szCs w:val="24"/>
                <w:lang w:val="es-CL"/>
              </w:rPr>
              <w:t>: Destapar dos lavamanos.        </w:t>
            </w:r>
          </w:p>
          <w:p w14:paraId="3AD71020" w14:textId="77777777" w:rsidR="00637625" w:rsidRPr="00637625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CL"/>
              </w:rPr>
            </w:pPr>
            <w:r w:rsidRPr="00637625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s-CL"/>
              </w:rPr>
              <w:t>Piso 7 norte</w:t>
            </w:r>
            <w:r w:rsidRPr="00637625">
              <w:rPr>
                <w:rFonts w:ascii="Calibri" w:hAnsi="Calibri" w:cs="Calibri"/>
                <w:noProof/>
                <w:sz w:val="24"/>
                <w:szCs w:val="24"/>
                <w:lang w:val="es-CL"/>
              </w:rPr>
              <w:t>: Destapar sifón baño 716 y revisión de baños 1, 2, y 4.             </w:t>
            </w:r>
          </w:p>
          <w:p w14:paraId="67926919" w14:textId="77777777" w:rsidR="00637625" w:rsidRPr="00637625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CL"/>
              </w:rPr>
            </w:pPr>
            <w:r w:rsidRPr="00637625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s-CL"/>
              </w:rPr>
              <w:t>Piso 6 norte</w:t>
            </w:r>
            <w:r w:rsidRPr="00637625">
              <w:rPr>
                <w:rFonts w:ascii="Calibri" w:hAnsi="Calibri" w:cs="Calibri"/>
                <w:noProof/>
                <w:sz w:val="24"/>
                <w:szCs w:val="24"/>
                <w:lang w:val="es-CL"/>
              </w:rPr>
              <w:t>: Baños 602-604-606 presentan fugas, para lo que se considera romper cielo falso, identificar y reparar fugas, reparar cielo y pintar. Otras reparaciones necesarias: Baño 604, instalar chapa puerta, baño 606 destapar sifón, baño 608 cambiar tapa baño.</w:t>
            </w:r>
          </w:p>
          <w:p w14:paraId="2F57EE6F" w14:textId="77777777" w:rsidR="00637625" w:rsidRPr="00755CEF" w:rsidRDefault="00637625" w:rsidP="00637625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</w:pPr>
          </w:p>
          <w:p w14:paraId="1C28DEEF" w14:textId="77777777" w:rsidR="00F31CDB" w:rsidRPr="00755CEF" w:rsidRDefault="00F31CDB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00F7C35" w14:textId="5B56C3EA" w:rsidR="00F06744" w:rsidRPr="00755CEF" w:rsidRDefault="00F06744" w:rsidP="00755CEF">
            <w:pPr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</w:pPr>
            <w:r w:rsidRPr="00755CEF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 xml:space="preserve">Fecha: </w:t>
            </w:r>
            <w:r w:rsidR="00637625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>Desde el 1 de Abril</w:t>
            </w:r>
          </w:p>
          <w:p w14:paraId="24E3A37B" w14:textId="19F3E265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BB42E2" w:rsidRPr="00755CEF" w14:paraId="35B3FF66" w14:textId="77777777" w:rsidTr="00BB42E2">
        <w:trPr>
          <w:trHeight w:val="968"/>
        </w:trPr>
        <w:tc>
          <w:tcPr>
            <w:tcW w:w="4697" w:type="dxa"/>
            <w:vAlign w:val="center"/>
          </w:tcPr>
          <w:p w14:paraId="031ED417" w14:textId="40286486" w:rsidR="00BB42E2" w:rsidRPr="00755CEF" w:rsidRDefault="00BB42E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lastRenderedPageBreak/>
              <w:t>Objetivo de la contratación</w:t>
            </w:r>
          </w:p>
        </w:tc>
        <w:tc>
          <w:tcPr>
            <w:tcW w:w="4697" w:type="dxa"/>
            <w:vAlign w:val="center"/>
          </w:tcPr>
          <w:p w14:paraId="44233ED6" w14:textId="77777777" w:rsidR="00BB42E2" w:rsidRDefault="00637625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Revisión y reparación necesaria para el buen funcionamiento de las instalaciones, considerando que los baños de los pisos 6°, 7° y 8° presentan tazas de baño quebradas, llaves en mal estado, cañerías y urinarios </w:t>
            </w:r>
            <w:r w:rsidR="00C37399">
              <w:rPr>
                <w:rFonts w:ascii="Calibri" w:hAnsi="Calibri" w:cs="Calibri"/>
                <w:snapToGrid w:val="0"/>
                <w:sz w:val="24"/>
                <w:szCs w:val="24"/>
              </w:rPr>
              <w:t>tapados, fugas de aguas servidas que caen al piso 6, además de constantes filtraciones de agua.</w:t>
            </w:r>
          </w:p>
          <w:p w14:paraId="50BB1F7E" w14:textId="17400F07" w:rsidR="00C37399" w:rsidRPr="00755CEF" w:rsidRDefault="00C37399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snapToGrid w:val="0"/>
                <w:sz w:val="24"/>
                <w:szCs w:val="24"/>
              </w:rPr>
              <w:t>Lo anterior es necesario para el buen funcionamiento, aseos y uso de las instalaciones por parte de colaboradores y estudiantes.</w:t>
            </w:r>
          </w:p>
        </w:tc>
      </w:tr>
      <w:tr w:rsidR="001A4C69" w:rsidRPr="00755CEF" w14:paraId="384FDC88" w14:textId="77777777" w:rsidTr="00912D2C">
        <w:trPr>
          <w:trHeight w:val="1818"/>
        </w:trPr>
        <w:tc>
          <w:tcPr>
            <w:tcW w:w="4697" w:type="dxa"/>
            <w:vAlign w:val="center"/>
          </w:tcPr>
          <w:p w14:paraId="07B920A9" w14:textId="324A3A45" w:rsidR="001A4C69" w:rsidRPr="00755CEF" w:rsidRDefault="001A4C69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Calidad </w:t>
            </w:r>
          </w:p>
        </w:tc>
        <w:tc>
          <w:tcPr>
            <w:tcW w:w="4697" w:type="dxa"/>
            <w:vAlign w:val="center"/>
          </w:tcPr>
          <w:p w14:paraId="61F44175" w14:textId="14643EF2" w:rsidR="00C37399" w:rsidRDefault="00715168" w:rsidP="00C37399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  <w:t>Requisitos mínimos de calidad</w:t>
            </w:r>
          </w:p>
          <w:p w14:paraId="4134FC48" w14:textId="77777777" w:rsidR="00C37399" w:rsidRPr="00C37399" w:rsidRDefault="00C37399" w:rsidP="00C37399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</w:pPr>
          </w:p>
          <w:p w14:paraId="7280155E" w14:textId="477C5C28" w:rsidR="00C37399" w:rsidRPr="00C37399" w:rsidRDefault="00C37399" w:rsidP="005A204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</w:pPr>
            <w:r w:rsidRPr="00C37399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  <w:t xml:space="preserve">Certificación SEC: </w:t>
            </w:r>
            <w:r w:rsidRPr="00C37399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 xml:space="preserve">El personal técnico a cargo debe contar con </w:t>
            </w:r>
            <w:proofErr w:type="gramStart"/>
            <w:r w:rsidRPr="00C37399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>carnet</w:t>
            </w:r>
            <w:proofErr w:type="gramEnd"/>
            <w:r w:rsidR="00715168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 xml:space="preserve"> </w:t>
            </w:r>
            <w:r w:rsidR="00715168" w:rsidRPr="00C37399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>vigente</w:t>
            </w:r>
            <w:r w:rsidRPr="00C37399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 xml:space="preserve"> de Instalador Sanitario Autorizado por la SEC</w:t>
            </w:r>
            <w:r w:rsidR="00715168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>.</w:t>
            </w:r>
          </w:p>
          <w:p w14:paraId="6804DDC9" w14:textId="513AA631" w:rsidR="00715168" w:rsidRPr="00C37399" w:rsidRDefault="00C37399" w:rsidP="005A204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</w:pPr>
            <w:r w:rsidRPr="00C37399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  <w:t>Normativa Sanitaria</w:t>
            </w:r>
            <w:r w:rsidRPr="00C37399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 xml:space="preserve">: </w:t>
            </w:r>
            <w:r w:rsidR="00715168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>Debe</w:t>
            </w:r>
            <w:r w:rsidRPr="00C37399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 xml:space="preserve"> regirse</w:t>
            </w:r>
            <w:r w:rsidR="00715168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 xml:space="preserve"> </w:t>
            </w:r>
            <w:r w:rsidRPr="00C37399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>por el Reglamento de Instalaciones Domiciliarias de Agua Potable y de Alcantarillado (RIDAA).</w:t>
            </w:r>
          </w:p>
          <w:p w14:paraId="66860E00" w14:textId="76205A09" w:rsidR="00715168" w:rsidRPr="00715168" w:rsidRDefault="00715168" w:rsidP="005A2042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  <w:t xml:space="preserve">Seguridad: </w:t>
            </w:r>
            <w:r w:rsidR="00C37399" w:rsidRPr="00C37399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 xml:space="preserve">Uso obligatorio de </w:t>
            </w:r>
            <w:r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>indumentaria de seguridad.</w:t>
            </w:r>
          </w:p>
          <w:p w14:paraId="63DB2EDC" w14:textId="5FCA55F0" w:rsidR="00C37399" w:rsidRPr="00C37399" w:rsidRDefault="00C37399" w:rsidP="005A2042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</w:pPr>
            <w:r w:rsidRPr="00C37399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  <w:t xml:space="preserve">Retiro de Escombros: </w:t>
            </w:r>
            <w:r w:rsidRPr="00C37399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>Eliminación de tazas de baño quebradas y materiales en mal estado</w:t>
            </w:r>
            <w:r w:rsidR="00715168">
              <w:rPr>
                <w:rFonts w:ascii="Calibri" w:hAnsi="Calibri" w:cs="Calibri"/>
                <w:snapToGrid w:val="0"/>
                <w:sz w:val="24"/>
                <w:szCs w:val="24"/>
                <w:lang w:val="es-CL"/>
              </w:rPr>
              <w:t>.</w:t>
            </w:r>
          </w:p>
          <w:p w14:paraId="64269C87" w14:textId="71793A93" w:rsidR="00B25090" w:rsidRPr="00755CEF" w:rsidRDefault="00B25090" w:rsidP="00C37399">
            <w:pPr>
              <w:spacing w:line="276" w:lineRule="auto"/>
              <w:ind w:left="720"/>
              <w:jc w:val="both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</w:p>
        </w:tc>
      </w:tr>
      <w:tr w:rsidR="00690B40" w:rsidRPr="00755CEF" w14:paraId="2DA5B61A" w14:textId="77777777" w:rsidTr="00075096">
        <w:tc>
          <w:tcPr>
            <w:tcW w:w="4697" w:type="dxa"/>
            <w:vAlign w:val="center"/>
          </w:tcPr>
          <w:p w14:paraId="39889429" w14:textId="4F7427B6" w:rsidR="00690B40" w:rsidRPr="00755CEF" w:rsidRDefault="00690B40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Monto </w:t>
            </w:r>
            <w:r w:rsidR="00F40654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Disponible/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Referencia </w:t>
            </w:r>
            <w:r w:rsidR="00F40654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(en caso de ser referencia debe tener un rango máximo de aceptación)</w:t>
            </w:r>
          </w:p>
        </w:tc>
        <w:tc>
          <w:tcPr>
            <w:tcW w:w="4697" w:type="dxa"/>
            <w:vAlign w:val="center"/>
          </w:tcPr>
          <w:p w14:paraId="461351FC" w14:textId="77777777" w:rsidR="00690B40" w:rsidRPr="00755CEF" w:rsidRDefault="00690B40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38FD7008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6E1ACFAE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AA55DBF" w14:textId="2A503A9E" w:rsidR="00075096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$</w:t>
            </w:r>
            <w:r w:rsidR="00C37399">
              <w:rPr>
                <w:rFonts w:ascii="Calibri" w:hAnsi="Calibri" w:cs="Calibri"/>
                <w:snapToGrid w:val="0"/>
                <w:sz w:val="24"/>
                <w:szCs w:val="24"/>
              </w:rPr>
              <w:t>732.000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(valor con impuestos incluidos)</w:t>
            </w:r>
          </w:p>
          <w:p w14:paraId="3792861C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216AA38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7A8B146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F40654" w:rsidRPr="00755CEF" w14:paraId="2935DC4F" w14:textId="77777777" w:rsidTr="00075096">
        <w:tc>
          <w:tcPr>
            <w:tcW w:w="4697" w:type="dxa"/>
            <w:vAlign w:val="center"/>
          </w:tcPr>
          <w:p w14:paraId="3B1B7B10" w14:textId="73EA2872" w:rsidR="00F40654" w:rsidRPr="00755CEF" w:rsidRDefault="00FE2135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Garantía mínima exigida (en caso de que proceda)</w:t>
            </w:r>
          </w:p>
        </w:tc>
        <w:tc>
          <w:tcPr>
            <w:tcW w:w="4697" w:type="dxa"/>
            <w:vAlign w:val="center"/>
          </w:tcPr>
          <w:p w14:paraId="6C0CE8A7" w14:textId="77777777" w:rsidR="00F40654" w:rsidRPr="00755CEF" w:rsidRDefault="00F40654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0E16A32F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42E81EB" w14:textId="4780A95D" w:rsidR="00075096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NO APLICA</w:t>
            </w:r>
          </w:p>
          <w:p w14:paraId="3B24BB8A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0295288A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6823B949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284CE690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075096" w:rsidRPr="00755CEF" w14:paraId="13127B66" w14:textId="77777777" w:rsidTr="00075096">
        <w:tc>
          <w:tcPr>
            <w:tcW w:w="4697" w:type="dxa"/>
            <w:vAlign w:val="center"/>
          </w:tcPr>
          <w:p w14:paraId="52383C97" w14:textId="55C7F312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Declarar condiciones de garantía (si procede)</w:t>
            </w:r>
          </w:p>
        </w:tc>
        <w:tc>
          <w:tcPr>
            <w:tcW w:w="4697" w:type="dxa"/>
            <w:vAlign w:val="center"/>
          </w:tcPr>
          <w:p w14:paraId="268170E8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62910D14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791195A1" w14:textId="60432054" w:rsidR="00075096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NO APLICA</w:t>
            </w:r>
          </w:p>
          <w:p w14:paraId="30246A2F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2AF286FB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52795082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075096" w:rsidRPr="00755CEF" w14:paraId="5994B092" w14:textId="77777777" w:rsidTr="003802FB">
        <w:trPr>
          <w:trHeight w:val="1077"/>
        </w:trPr>
        <w:tc>
          <w:tcPr>
            <w:tcW w:w="4697" w:type="dxa"/>
            <w:vAlign w:val="center"/>
          </w:tcPr>
          <w:p w14:paraId="110545A9" w14:textId="48F6B803" w:rsidR="00075096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lastRenderedPageBreak/>
              <w:t xml:space="preserve">Indicar si se requiere certificación </w:t>
            </w:r>
          </w:p>
        </w:tc>
        <w:tc>
          <w:tcPr>
            <w:tcW w:w="4697" w:type="dxa"/>
            <w:vAlign w:val="center"/>
          </w:tcPr>
          <w:p w14:paraId="124E1BFF" w14:textId="2BFBC9DF" w:rsidR="00075096" w:rsidRPr="00755CEF" w:rsidRDefault="0071516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snapToGrid w:val="0"/>
                <w:sz w:val="24"/>
                <w:szCs w:val="24"/>
              </w:rPr>
              <w:t>Certificación SEC</w:t>
            </w:r>
          </w:p>
        </w:tc>
      </w:tr>
      <w:tr w:rsidR="00B36292" w:rsidRPr="00755CEF" w14:paraId="221E2830" w14:textId="77777777" w:rsidTr="006317E9">
        <w:tc>
          <w:tcPr>
            <w:tcW w:w="4697" w:type="dxa"/>
            <w:vAlign w:val="center"/>
          </w:tcPr>
          <w:p w14:paraId="7436880B" w14:textId="530214D1" w:rsidR="00B36292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Lugar de entrega</w:t>
            </w:r>
            <w:r w:rsidR="00094535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o de prestación del servicio</w:t>
            </w:r>
          </w:p>
        </w:tc>
        <w:tc>
          <w:tcPr>
            <w:tcW w:w="4697" w:type="dxa"/>
            <w:vAlign w:val="center"/>
          </w:tcPr>
          <w:p w14:paraId="6B0DF52C" w14:textId="77777777" w:rsidR="00B36292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11837779" w14:textId="48055A6D" w:rsidR="00B36292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Señalado en detalle de requerimiento</w:t>
            </w:r>
          </w:p>
          <w:p w14:paraId="7B8B1261" w14:textId="77777777" w:rsidR="00B36292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214D00A3" w14:textId="77777777" w:rsidR="00B36292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FE2135" w:rsidRPr="00755CEF" w14:paraId="6BF6FFED" w14:textId="77777777" w:rsidTr="00075096">
        <w:tc>
          <w:tcPr>
            <w:tcW w:w="4697" w:type="dxa"/>
            <w:vAlign w:val="center"/>
          </w:tcPr>
          <w:p w14:paraId="6D704AF6" w14:textId="106AD4DA" w:rsidR="00FE2135" w:rsidRPr="00755CEF" w:rsidRDefault="00FE2135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Condiciones de entrega </w:t>
            </w:r>
          </w:p>
        </w:tc>
        <w:tc>
          <w:tcPr>
            <w:tcW w:w="4697" w:type="dxa"/>
            <w:vAlign w:val="center"/>
          </w:tcPr>
          <w:p w14:paraId="1803E893" w14:textId="77777777" w:rsidR="00FE2135" w:rsidRPr="00755CEF" w:rsidRDefault="00FE2135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305EAD99" w14:textId="0908D489" w:rsidR="00075096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NO APLICA</w:t>
            </w:r>
          </w:p>
          <w:p w14:paraId="07F8B9A7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075096" w:rsidRPr="00755CEF" w14:paraId="227E03D1" w14:textId="77777777" w:rsidTr="00075096">
        <w:tc>
          <w:tcPr>
            <w:tcW w:w="4697" w:type="dxa"/>
            <w:vAlign w:val="center"/>
          </w:tcPr>
          <w:p w14:paraId="3BC6BD25" w14:textId="77777777" w:rsidR="00075096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Requisito obligatorio para </w:t>
            </w:r>
            <w:r w:rsidR="0036164B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presentar oferta</w:t>
            </w:r>
          </w:p>
          <w:p w14:paraId="57912F3E" w14:textId="77777777" w:rsidR="0036164B" w:rsidRPr="00755CEF" w:rsidRDefault="0036164B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06B90AF3" w14:textId="2A082071" w:rsidR="0036164B" w:rsidRPr="00755CEF" w:rsidRDefault="0036164B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356272B3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03E5D08A" w14:textId="11FB0E9F" w:rsidR="00075096" w:rsidRPr="00755CEF" w:rsidRDefault="00B70024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Acompañar cotización formal en donde se indique </w:t>
            </w:r>
            <w:r w:rsidR="00715168">
              <w:rPr>
                <w:rFonts w:ascii="Calibri" w:hAnsi="Calibri" w:cs="Calibri"/>
                <w:snapToGrid w:val="0"/>
                <w:sz w:val="24"/>
                <w:szCs w:val="24"/>
              </w:rPr>
              <w:t>certificación, materiales a usar y que tipos de servicios cubre.</w:t>
            </w:r>
          </w:p>
        </w:tc>
      </w:tr>
      <w:tr w:rsidR="00A40279" w:rsidRPr="00755CEF" w14:paraId="1F094753" w14:textId="77777777" w:rsidTr="00075096">
        <w:tc>
          <w:tcPr>
            <w:tcW w:w="4697" w:type="dxa"/>
            <w:vAlign w:val="center"/>
          </w:tcPr>
          <w:p w14:paraId="4BEE850F" w14:textId="627F0A88" w:rsidR="00A40279" w:rsidRPr="00755CEF" w:rsidRDefault="00A40279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Plazo máximo para aceptar la orden de compra</w:t>
            </w:r>
          </w:p>
        </w:tc>
        <w:tc>
          <w:tcPr>
            <w:tcW w:w="4697" w:type="dxa"/>
            <w:vAlign w:val="center"/>
          </w:tcPr>
          <w:p w14:paraId="18736C2A" w14:textId="215AD2C2" w:rsidR="00A40279" w:rsidRPr="00755CEF" w:rsidRDefault="00A40279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48 horas contados desde la emisión, quien no acepte la orden de compra en dicho plazo </w:t>
            </w:r>
            <w:r w:rsidR="00A066D3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facultará a</w:t>
            </w:r>
            <w:r w:rsidR="002108E3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l CFT</w:t>
            </w:r>
            <w:r w:rsidR="00A066D3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a seleccionar al siguiente proveedor/a.</w:t>
            </w:r>
          </w:p>
        </w:tc>
      </w:tr>
      <w:tr w:rsidR="009C14A4" w:rsidRPr="00755CEF" w14:paraId="77032DF0" w14:textId="77777777" w:rsidTr="009C14A4">
        <w:trPr>
          <w:trHeight w:val="714"/>
        </w:trPr>
        <w:tc>
          <w:tcPr>
            <w:tcW w:w="4697" w:type="dxa"/>
            <w:vAlign w:val="center"/>
          </w:tcPr>
          <w:p w14:paraId="2AEADC12" w14:textId="5DDAE418" w:rsidR="009C14A4" w:rsidRPr="00755CEF" w:rsidRDefault="009C14A4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Validez de la cotización (plazo mínimo)</w:t>
            </w:r>
          </w:p>
        </w:tc>
        <w:tc>
          <w:tcPr>
            <w:tcW w:w="4697" w:type="dxa"/>
            <w:vAlign w:val="center"/>
          </w:tcPr>
          <w:p w14:paraId="0F0968B9" w14:textId="6CC4D014" w:rsidR="009C14A4" w:rsidRPr="00755CEF" w:rsidRDefault="002108E3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30 días</w:t>
            </w:r>
          </w:p>
        </w:tc>
      </w:tr>
    </w:tbl>
    <w:p w14:paraId="3608D392" w14:textId="1C4BB9A7" w:rsidR="00BB42E2" w:rsidRPr="00755CEF" w:rsidRDefault="00BB42E2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2D58EE2F" w14:textId="7FC3200F" w:rsidR="007F5A58" w:rsidRPr="00755CEF" w:rsidRDefault="008D5B8E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S</w:t>
      </w:r>
      <w:r w:rsidR="00663A30" w:rsidRPr="00755CEF">
        <w:rPr>
          <w:rFonts w:ascii="Calibri" w:hAnsi="Calibri" w:cs="Calibri"/>
          <w:spacing w:val="-3"/>
          <w:sz w:val="24"/>
          <w:szCs w:val="24"/>
          <w:lang w:val="es-CL"/>
        </w:rPr>
        <w:t>erán</w:t>
      </w:r>
      <w:r w:rsidR="00635C3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exigibles las condiciones </w:t>
      </w:r>
      <w:r w:rsidR="00AF3B4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cotizadas </w:t>
      </w:r>
      <w:r w:rsidR="00635C3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por </w:t>
      </w:r>
      <w:r w:rsidR="00AF3B4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 oferte,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de acuerdo con</w:t>
      </w:r>
      <w:r w:rsidR="00635C3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</w:t>
      </w:r>
      <w:r w:rsidR="00012B30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su </w:t>
      </w:r>
      <w:r w:rsidR="00635C34" w:rsidRPr="00755CEF">
        <w:rPr>
          <w:rFonts w:ascii="Calibri" w:hAnsi="Calibri" w:cs="Calibri"/>
          <w:spacing w:val="-3"/>
          <w:sz w:val="24"/>
          <w:szCs w:val="24"/>
          <w:lang w:val="es-CL"/>
        </w:rPr>
        <w:t>propuesta comercial, con todas las especificaciones que en ella se señalan</w:t>
      </w:r>
      <w:r w:rsidR="00B423BC" w:rsidRPr="00755CEF">
        <w:rPr>
          <w:rFonts w:ascii="Calibri" w:hAnsi="Calibri" w:cs="Calibri"/>
          <w:spacing w:val="-3"/>
          <w:sz w:val="24"/>
          <w:szCs w:val="24"/>
          <w:lang w:val="es-CL"/>
        </w:rPr>
        <w:t>.</w:t>
      </w:r>
      <w:r w:rsidR="00CA76C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En caso de incumplimiento, aplicará la normativa vigente</w:t>
      </w:r>
      <w:r w:rsidR="007F5A58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para las debidas formulaciones de cargo y posterior aplicación de multas, sin perjuicio de las demás acciones que pueda realizar 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el CFTRM.</w:t>
      </w:r>
    </w:p>
    <w:p w14:paraId="4101FA99" w14:textId="77777777" w:rsidR="00CA76C4" w:rsidRPr="00755CEF" w:rsidRDefault="00CA76C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7D3906DF" w14:textId="77777777" w:rsidR="005A73A8" w:rsidRPr="00755CEF" w:rsidRDefault="005A73A8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Consultas</w:t>
      </w:r>
    </w:p>
    <w:p w14:paraId="0FC9A32F" w14:textId="77777777" w:rsidR="005A73A8" w:rsidRPr="00755CEF" w:rsidRDefault="005A73A8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585F374" w14:textId="2188632A" w:rsidR="005A73A8" w:rsidRPr="00755CEF" w:rsidRDefault="005A73A8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Podrán realizarse consultas a la compra ágil directamente a la casilla:</w:t>
      </w:r>
      <w:r w:rsidR="002108E3" w:rsidRPr="00755CEF">
        <w:rPr>
          <w:rFonts w:ascii="Calibri" w:hAnsi="Calibri" w:cs="Calibri"/>
          <w:sz w:val="24"/>
          <w:szCs w:val="24"/>
        </w:rPr>
        <w:t xml:space="preserve"> catalina.faundez@santiagocft.cl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, las que serán contestadas y publicadas </w:t>
      </w:r>
      <w:r w:rsidR="001A4C69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hasta </w:t>
      </w:r>
      <w:r w:rsidRPr="00755CEF">
        <w:rPr>
          <w:rFonts w:ascii="Calibri" w:hAnsi="Calibri" w:cs="Calibri"/>
          <w:b/>
          <w:bCs/>
          <w:spacing w:val="-3"/>
          <w:sz w:val="24"/>
          <w:szCs w:val="24"/>
          <w:lang w:val="es-CL"/>
        </w:rPr>
        <w:t>4 horas antes del cierre del proceso de compra ágil</w:t>
      </w:r>
      <w:r w:rsidR="001A4C69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. </w:t>
      </w:r>
    </w:p>
    <w:p w14:paraId="3ED97784" w14:textId="77777777" w:rsidR="005A73A8" w:rsidRPr="00755CEF" w:rsidRDefault="005A73A8" w:rsidP="00755CEF">
      <w:pPr>
        <w:spacing w:line="276" w:lineRule="auto"/>
        <w:jc w:val="center"/>
        <w:rPr>
          <w:rFonts w:ascii="Calibri" w:hAnsi="Calibri" w:cs="Calibri"/>
          <w:sz w:val="24"/>
          <w:szCs w:val="24"/>
          <w:lang w:val="es-CL" w:eastAsia="es-CL"/>
        </w:rPr>
      </w:pPr>
    </w:p>
    <w:p w14:paraId="4C6B6492" w14:textId="6FCADE14" w:rsidR="009F129B" w:rsidRPr="00755CEF" w:rsidRDefault="009F129B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Inadmisibilidad de las ofertas</w:t>
      </w:r>
    </w:p>
    <w:p w14:paraId="38FDA468" w14:textId="77777777" w:rsidR="009F129B" w:rsidRPr="00755CEF" w:rsidRDefault="009F129B" w:rsidP="00755CEF">
      <w:p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</w:p>
    <w:p w14:paraId="082D1375" w14:textId="072D5300" w:rsidR="009F129B" w:rsidRPr="00755CEF" w:rsidRDefault="00B7002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napToGrid w:val="0"/>
          <w:sz w:val="24"/>
          <w:szCs w:val="24"/>
          <w:lang w:val="es-CL"/>
        </w:rPr>
        <w:t xml:space="preserve">El CFTRM </w:t>
      </w:r>
      <w:r w:rsidR="00094535" w:rsidRPr="00755CEF">
        <w:rPr>
          <w:rFonts w:ascii="Calibri" w:hAnsi="Calibri" w:cs="Calibri"/>
          <w:spacing w:val="-3"/>
          <w:sz w:val="24"/>
          <w:szCs w:val="24"/>
          <w:lang w:val="es-CL"/>
        </w:rPr>
        <w:t>declarará inadmisibles las ofertas que no cumplan con cualquiera de las especificaciones exigidas</w:t>
      </w:r>
      <w:r w:rsidR="00EC3D51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y que no acompañen el Anexo de postulación, aun cuando trate de la alternativa más económica.</w:t>
      </w:r>
    </w:p>
    <w:p w14:paraId="0DE25158" w14:textId="77777777" w:rsidR="00094535" w:rsidRPr="00755CEF" w:rsidRDefault="00094535" w:rsidP="00755CEF">
      <w:p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</w:p>
    <w:p w14:paraId="38FDBCE7" w14:textId="111E2483" w:rsidR="00CA76C4" w:rsidRPr="00755CEF" w:rsidRDefault="007F5A58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Evaluación</w:t>
      </w:r>
      <w:r w:rsidR="00EC0777"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 xml:space="preserve"> </w:t>
      </w:r>
      <w:r w:rsidR="0036164B"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 xml:space="preserve">de las cotizaciones </w:t>
      </w:r>
      <w:r w:rsidR="00EC0777"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y mecanismo de desempate:</w:t>
      </w:r>
    </w:p>
    <w:p w14:paraId="7944BB96" w14:textId="77777777" w:rsidR="007F5A58" w:rsidRPr="00755CEF" w:rsidRDefault="007F5A58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62785237" w14:textId="1DCA2326" w:rsidR="0036164B" w:rsidRPr="00755CEF" w:rsidRDefault="00EC0777" w:rsidP="00755CEF">
      <w:pPr>
        <w:spacing w:line="276" w:lineRule="auto"/>
        <w:jc w:val="both"/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lastRenderedPageBreak/>
        <w:t xml:space="preserve">Se considerará la </w:t>
      </w:r>
      <w:r w:rsidRPr="00755CEF"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  <w:t>oferta más ventajosa económicamente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siempre que </w:t>
      </w:r>
      <w:r w:rsidR="0036164B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ésta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cumpla a cabalidad con las especificaciones técnicas requeridas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.</w:t>
      </w:r>
    </w:p>
    <w:p w14:paraId="27D3E0E7" w14:textId="77777777" w:rsidR="00921ED9" w:rsidRPr="00755CEF" w:rsidRDefault="00921ED9" w:rsidP="00755CEF">
      <w:pPr>
        <w:spacing w:line="276" w:lineRule="auto"/>
        <w:jc w:val="both"/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</w:pPr>
    </w:p>
    <w:p w14:paraId="186A84CA" w14:textId="56753955" w:rsidR="0036164B" w:rsidRPr="00755CEF" w:rsidRDefault="009F129B" w:rsidP="005A204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</w:pPr>
      <w:r w:rsidRPr="00755CEF"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  <w:t xml:space="preserve">En caso </w:t>
      </w:r>
      <w:r w:rsidR="00EC3D51" w:rsidRPr="00755CEF"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  <w:t xml:space="preserve">de existir un empate </w:t>
      </w:r>
      <w:r w:rsidR="005F7404" w:rsidRPr="00755CEF"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  <w:t>se privilegiará la oferta que:</w:t>
      </w:r>
    </w:p>
    <w:p w14:paraId="32837E3E" w14:textId="77777777" w:rsidR="005F7404" w:rsidRPr="00755CEF" w:rsidRDefault="005F7404" w:rsidP="00755CEF">
      <w:pPr>
        <w:spacing w:line="276" w:lineRule="auto"/>
        <w:jc w:val="both"/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</w:pPr>
    </w:p>
    <w:p w14:paraId="21657B16" w14:textId="68608C4B" w:rsidR="00DB49A2" w:rsidRPr="00755CEF" w:rsidRDefault="005F7404" w:rsidP="005A204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C</w:t>
      </w:r>
      <w:r w:rsidR="00DB49A2" w:rsidRPr="00755CEF">
        <w:rPr>
          <w:rFonts w:ascii="Calibri" w:hAnsi="Calibri" w:cs="Calibri"/>
          <w:spacing w:val="-3"/>
          <w:sz w:val="24"/>
          <w:szCs w:val="24"/>
          <w:lang w:val="es-CL"/>
        </w:rPr>
        <w:t>uente con alguno de los siguientes sellos: sello mujer, sello APL, Propyme, sello cooperativas u otro sello ambiental (adicional al Energy Star). Podrá también valorarse como desempate, ante la inexistencia de sellos formales o certificados, los oferentes que se refieran a persona natural de género femenino o una empresa constituida por una mujer (E.I.R.L.).</w:t>
      </w:r>
    </w:p>
    <w:p w14:paraId="46391C76" w14:textId="77777777" w:rsidR="005F7404" w:rsidRPr="00755CEF" w:rsidRDefault="005F7404" w:rsidP="00755CEF">
      <w:pPr>
        <w:spacing w:line="276" w:lineRule="auto"/>
        <w:ind w:left="720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D2FACAB" w14:textId="52A337A0" w:rsidR="00DB49A2" w:rsidRPr="00755CEF" w:rsidRDefault="00DB49A2" w:rsidP="005A204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En caso de mantenerse el empate, se seleccionará la oferta que ofrezca el menor plazo de </w:t>
      </w:r>
      <w:r w:rsidR="005F7404" w:rsidRPr="00755CEF">
        <w:rPr>
          <w:rFonts w:ascii="Calibri" w:hAnsi="Calibri" w:cs="Calibri"/>
          <w:spacing w:val="-3"/>
          <w:sz w:val="24"/>
          <w:szCs w:val="24"/>
          <w:lang w:val="es-CL"/>
        </w:rPr>
        <w:t>entrega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.</w:t>
      </w:r>
    </w:p>
    <w:p w14:paraId="260E04E4" w14:textId="77777777" w:rsidR="005F7404" w:rsidRPr="00755CEF" w:rsidRDefault="005F7404" w:rsidP="00755CEF">
      <w:pPr>
        <w:pStyle w:val="Prrafodelista"/>
        <w:spacing w:line="276" w:lineRule="auto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3900065F" w14:textId="29CAB4C6" w:rsidR="00DB49A2" w:rsidRPr="00755CEF" w:rsidRDefault="00DB49A2" w:rsidP="005A204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Finalmente, si aún persiste el empate, se seleccionará a la propuesta que </w:t>
      </w:r>
      <w:r w:rsidR="007E02E0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cuente con un mayor número de órdenes de compra </w:t>
      </w:r>
      <w:r w:rsidR="00C404C0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recibidas durante los últimos 12 meses a través del sistema de información: </w:t>
      </w:r>
      <w:hyperlink r:id="rId11" w:history="1">
        <w:r w:rsidRPr="00755CEF">
          <w:rPr>
            <w:rStyle w:val="Hipervnculo"/>
            <w:rFonts w:ascii="Calibri" w:hAnsi="Calibri" w:cs="Calibri"/>
            <w:spacing w:val="-3"/>
            <w:sz w:val="24"/>
            <w:szCs w:val="24"/>
            <w:lang w:val="es-CL"/>
          </w:rPr>
          <w:t>www.mercadopublico.cl</w:t>
        </w:r>
      </w:hyperlink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.</w:t>
      </w:r>
    </w:p>
    <w:p w14:paraId="6EC2188E" w14:textId="77777777" w:rsidR="00DB49A2" w:rsidRPr="00755CEF" w:rsidRDefault="00DB49A2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589381BC" w14:textId="75CB54CA" w:rsidR="00921ED9" w:rsidRPr="00755CEF" w:rsidRDefault="00921ED9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Resultado del proceso</w:t>
      </w:r>
    </w:p>
    <w:p w14:paraId="2A46E250" w14:textId="77777777" w:rsidR="00921ED9" w:rsidRPr="00755CEF" w:rsidRDefault="00921ED9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</w:p>
    <w:p w14:paraId="3BBF6E91" w14:textId="433A4334" w:rsidR="0041695C" w:rsidRPr="00755CEF" w:rsidRDefault="002108E3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snapToGrid w:val="0"/>
          <w:sz w:val="24"/>
          <w:szCs w:val="24"/>
          <w:lang w:val="es-CL"/>
        </w:rPr>
        <w:t>El Centro de Formación Técnica de la Región Metropolitana de Santiago</w:t>
      </w:r>
      <w:r w:rsidR="00921ED9" w:rsidRPr="00755CEF">
        <w:rPr>
          <w:rFonts w:ascii="Calibri" w:hAnsi="Calibri" w:cs="Calibri"/>
          <w:snapToGrid w:val="0"/>
          <w:sz w:val="24"/>
          <w:szCs w:val="24"/>
          <w:lang w:val="es-CL"/>
        </w:rPr>
        <w:t xml:space="preserve"> notificará el resultado de la compra ágil en el mismo sistema de información y el análisis de la evaluación lo acompañará en un documento adjunto en la orden de compra generada como resultado del proceso.</w:t>
      </w:r>
    </w:p>
    <w:p w14:paraId="5910890A" w14:textId="77777777" w:rsidR="00921ED9" w:rsidRPr="00755CEF" w:rsidRDefault="00921ED9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</w:p>
    <w:p w14:paraId="18860D4F" w14:textId="0667D643" w:rsidR="00BC446D" w:rsidRPr="00755CEF" w:rsidRDefault="00BC446D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Cancelación de la compra ágil</w:t>
      </w:r>
    </w:p>
    <w:p w14:paraId="06D0DECE" w14:textId="77777777" w:rsidR="00BC446D" w:rsidRPr="00755CEF" w:rsidRDefault="00BC446D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4B14BEF" w14:textId="1991EAF4" w:rsidR="00111894" w:rsidRPr="00755CEF" w:rsidRDefault="002108E3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El CFT </w:t>
      </w:r>
      <w:r w:rsidR="0007509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podrá desistir de la </w:t>
      </w:r>
      <w:r w:rsidR="00BC446D" w:rsidRPr="00755CEF">
        <w:rPr>
          <w:rFonts w:ascii="Calibri" w:hAnsi="Calibri" w:cs="Calibri"/>
          <w:spacing w:val="-3"/>
          <w:sz w:val="24"/>
          <w:szCs w:val="24"/>
          <w:lang w:val="es-CL"/>
        </w:rPr>
        <w:t>compra ágil</w:t>
      </w:r>
      <w:r w:rsidR="00D3678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y cancelarla, eventualmente, en </w:t>
      </w:r>
      <w:r w:rsidR="00111894" w:rsidRPr="00755CEF">
        <w:rPr>
          <w:rFonts w:ascii="Calibri" w:hAnsi="Calibri" w:cs="Calibri"/>
          <w:spacing w:val="-3"/>
          <w:sz w:val="24"/>
          <w:szCs w:val="24"/>
          <w:lang w:val="es-CL"/>
        </w:rPr>
        <w:t>el</w:t>
      </w:r>
      <w:r w:rsidR="00D3678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caso que ninguna oferta cumpla con los requisitos exigidos,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>y/</w:t>
      </w:r>
      <w:r w:rsidR="00D3678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o superen el presupuesto </w:t>
      </w:r>
      <w:r w:rsidR="00111894" w:rsidRPr="00755CEF">
        <w:rPr>
          <w:rFonts w:ascii="Calibri" w:hAnsi="Calibri" w:cs="Calibri"/>
          <w:spacing w:val="-3"/>
          <w:sz w:val="24"/>
          <w:szCs w:val="24"/>
          <w:lang w:val="es-CL"/>
        </w:rPr>
        <w:t>disponible.</w:t>
      </w:r>
    </w:p>
    <w:p w14:paraId="7E6F073E" w14:textId="77777777" w:rsidR="00111894" w:rsidRPr="00755CEF" w:rsidRDefault="0011189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39A8DA51" w14:textId="30AFFB92" w:rsidR="00111894" w:rsidRPr="00755CEF" w:rsidRDefault="0011189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También podrá ser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cancelada,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excepcionalmente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>,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>en caso de que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se identifique un error o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falta de precisión en el requerimiento de forma posterior a la publicación de la compra ágil, </w:t>
      </w:r>
      <w:r w:rsidR="00721373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o en caso de fuerza mayor o caso fortuito,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>lo que se fundará en la misma plataforma.</w:t>
      </w:r>
    </w:p>
    <w:p w14:paraId="48968E81" w14:textId="77777777" w:rsidR="00DE4DD4" w:rsidRPr="00755CEF" w:rsidRDefault="00DE4DD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503E0ED6" w14:textId="0CE0DF52" w:rsidR="00182F44" w:rsidRPr="00755CEF" w:rsidRDefault="00182F44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Facturación</w:t>
      </w:r>
    </w:p>
    <w:p w14:paraId="77CC0686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69233A43" w14:textId="27598EAB" w:rsidR="00182F44" w:rsidRPr="00755CEF" w:rsidRDefault="002108E3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El proveedor emitirá factura</w:t>
      </w:r>
      <w:r w:rsidR="00624BA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 y/o boleta de honorarios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 u</w:t>
      </w:r>
      <w:r w:rsidR="00182F4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na vez recibido conforme el producto</w:t>
      </w:r>
      <w:r w:rsidR="00721373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/servicio</w:t>
      </w:r>
      <w:r w:rsidR="00182F4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 por parte de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l CFT</w:t>
      </w:r>
      <w:r w:rsidR="00182F4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. La factura debe ser emitida de la siguiente forma:</w:t>
      </w:r>
    </w:p>
    <w:p w14:paraId="077F18A6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3C31E1EA" w14:textId="77777777" w:rsidR="00CA2E4E" w:rsidRPr="00755CEF" w:rsidRDefault="00CA2E4E" w:rsidP="005A204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>Centro de Formación Técnica de la Región Metropolitana de Santiago</w:t>
      </w:r>
    </w:p>
    <w:p w14:paraId="7298A719" w14:textId="77777777" w:rsidR="00CA2E4E" w:rsidRPr="00755CEF" w:rsidRDefault="00CA2E4E" w:rsidP="005A204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>RUT: 62.000.750-1</w:t>
      </w:r>
    </w:p>
    <w:p w14:paraId="33863C1F" w14:textId="77777777" w:rsidR="00CA2E4E" w:rsidRPr="00755CEF" w:rsidRDefault="00CA2E4E" w:rsidP="005A204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>Dirección: Alonso de Ovalle N°1618, Santiago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 </w:t>
      </w:r>
    </w:p>
    <w:p w14:paraId="0552405C" w14:textId="2F690184" w:rsidR="00CA2E4E" w:rsidRPr="00755CEF" w:rsidRDefault="00182F44" w:rsidP="005A204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Giro: </w:t>
      </w:r>
      <w:r w:rsidR="00B7002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ENSEÑANZA SUPERIOR EN CENTROS DE FORMACION TECNICA</w:t>
      </w:r>
    </w:p>
    <w:p w14:paraId="23B3DE8E" w14:textId="6A6C0284" w:rsidR="00182F44" w:rsidRPr="00755CEF" w:rsidRDefault="00182F44" w:rsidP="005A204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Detalle</w:t>
      </w:r>
      <w:r w:rsidRPr="00755CEF">
        <w:rPr>
          <w:rFonts w:ascii="Calibri" w:hAnsi="Calibri" w:cs="Calibri"/>
          <w:sz w:val="24"/>
          <w:szCs w:val="24"/>
          <w:lang w:val="es-CL" w:eastAsia="es-CL"/>
        </w:rPr>
        <w:t>: Indicar código o ID orden de compra.</w:t>
      </w:r>
    </w:p>
    <w:p w14:paraId="466DB9CA" w14:textId="77777777" w:rsidR="00182F44" w:rsidRPr="00755CEF" w:rsidRDefault="00182F44" w:rsidP="00755CEF">
      <w:pPr>
        <w:spacing w:line="276" w:lineRule="auto"/>
        <w:ind w:left="360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7A7D49CE" w14:textId="308E6AF6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La factura será pagada en </w:t>
      </w:r>
      <w:r w:rsidR="00721373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el 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plazo </w:t>
      </w:r>
      <w:r w:rsidR="00721373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máximo de l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os 30 días corridos, contados desde su </w:t>
      </w:r>
      <w:r w:rsidR="00721373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emisión </w:t>
      </w:r>
      <w:r w:rsidR="008353C1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de acuerdo con lo previsto</w:t>
      </w:r>
      <w:r w:rsidR="008353C1" w:rsidRPr="00755CEF">
        <w:rPr>
          <w:rFonts w:ascii="Calibri" w:eastAsia="Calibri" w:hAnsi="Calibri" w:cs="Calibri"/>
          <w:bCs/>
          <w:sz w:val="24"/>
          <w:szCs w:val="24"/>
        </w:rPr>
        <w:t xml:space="preserve"> en la ley N° 21.131.</w:t>
      </w:r>
    </w:p>
    <w:p w14:paraId="70FABC66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5E1A79D5" w14:textId="4BFA3380" w:rsidR="00182F44" w:rsidRPr="00755CEF" w:rsidRDefault="00B7002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El CFT</w:t>
      </w:r>
      <w:r w:rsidR="00182F4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, en el marco de lo dispuesto en el N° 2 del artículo 3° de la Ley 19.983, tendrá un plazo de ocho días corridos siguientes a la recepción de la factura para reclamar de su contenido o tenerse por irrevocablemente aceptada.</w:t>
      </w:r>
    </w:p>
    <w:p w14:paraId="38C0C60F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567AF395" w14:textId="54F49A7C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Será responsabilidad del proveedor incorporar como documentos adjuntos los antecedentes que se requieran como parte del contrato o acuerdo con </w:t>
      </w:r>
      <w:r w:rsidR="00B7002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la Institución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 para materializar el pago</w:t>
      </w:r>
      <w:r w:rsidR="003738D0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.</w:t>
      </w:r>
    </w:p>
    <w:p w14:paraId="45DF7591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28AE1EBC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Por lo anterior y a fin de mitigar errores o descoordinaciones al momento del pago, será obligación del proveedor contratado informar, mediante correo electrónico o directamente consignándolo en su factura o documento tributario los siguientes datos:</w:t>
      </w:r>
    </w:p>
    <w:p w14:paraId="3ADDCAB8" w14:textId="52E5D6D6" w:rsidR="00BB42E2" w:rsidRPr="00755CEF" w:rsidRDefault="00BB42E2" w:rsidP="00755CEF">
      <w:pPr>
        <w:spacing w:line="276" w:lineRule="auto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40EAF6A5" w14:textId="77777777" w:rsidR="00182F44" w:rsidRPr="00755CEF" w:rsidRDefault="00182F44" w:rsidP="00755CEF">
      <w:pPr>
        <w:spacing w:line="276" w:lineRule="auto"/>
        <w:ind w:left="360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69B6C610" w14:textId="77777777" w:rsidR="00182F44" w:rsidRPr="00755CEF" w:rsidRDefault="00182F44" w:rsidP="005A204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Razón Social:</w:t>
      </w:r>
    </w:p>
    <w:p w14:paraId="23D9501F" w14:textId="77777777" w:rsidR="00182F44" w:rsidRPr="00755CEF" w:rsidRDefault="00182F44" w:rsidP="005A204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RUT:</w:t>
      </w:r>
    </w:p>
    <w:p w14:paraId="62E375D9" w14:textId="77777777" w:rsidR="00182F44" w:rsidRPr="00755CEF" w:rsidRDefault="00182F44" w:rsidP="005A204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Banco:</w:t>
      </w:r>
    </w:p>
    <w:p w14:paraId="4B2CF5B3" w14:textId="77777777" w:rsidR="00182F44" w:rsidRPr="00755CEF" w:rsidRDefault="00182F44" w:rsidP="005A204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N° Cuenta Corriente</w:t>
      </w:r>
    </w:p>
    <w:p w14:paraId="16DAB523" w14:textId="77777777" w:rsidR="00182F44" w:rsidRPr="00755CEF" w:rsidRDefault="00182F44" w:rsidP="005A204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Contacto:</w:t>
      </w:r>
    </w:p>
    <w:p w14:paraId="32635250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2822DBC" w14:textId="77777777" w:rsidR="00182F44" w:rsidRPr="00755CEF" w:rsidRDefault="00182F44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Contrato.</w:t>
      </w:r>
    </w:p>
    <w:p w14:paraId="17214D75" w14:textId="77777777" w:rsidR="00182F44" w:rsidRPr="00755CEF" w:rsidRDefault="00182F44" w:rsidP="00755CEF">
      <w:pPr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73A531E8" w14:textId="77777777" w:rsidR="00F00FD3" w:rsidRPr="00755CEF" w:rsidRDefault="00E817AA" w:rsidP="00755CEF">
      <w:pPr>
        <w:widowControl w:val="0"/>
        <w:tabs>
          <w:tab w:val="left" w:pos="4536"/>
          <w:tab w:val="left" w:pos="4678"/>
        </w:tabs>
        <w:spacing w:line="276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755CEF">
        <w:rPr>
          <w:rFonts w:ascii="Calibri" w:hAnsi="Calibri" w:cs="Calibri"/>
          <w:bCs/>
          <w:sz w:val="24"/>
          <w:szCs w:val="24"/>
        </w:rPr>
        <w:t>T</w:t>
      </w:r>
      <w:r w:rsidR="00F00FD3" w:rsidRPr="00755CEF">
        <w:rPr>
          <w:rFonts w:ascii="Calibri" w:hAnsi="Calibri" w:cs="Calibri"/>
          <w:bCs/>
          <w:sz w:val="24"/>
          <w:szCs w:val="24"/>
        </w:rPr>
        <w:t xml:space="preserve">ratándose de una adquisición menor a 100 UTM la compra se formalizará con la emisión y aceptación de la orden de compra a través del sistema de información de compras y contrataciones públicas, </w:t>
      </w:r>
      <w:hyperlink r:id="rId12" w:history="1">
        <w:r w:rsidR="00F00FD3" w:rsidRPr="00755CEF">
          <w:rPr>
            <w:rStyle w:val="Hipervnculo"/>
            <w:rFonts w:ascii="Calibri" w:hAnsi="Calibri" w:cs="Calibri"/>
            <w:bCs/>
            <w:sz w:val="24"/>
            <w:szCs w:val="24"/>
          </w:rPr>
          <w:t>www.mercadopublico.cl</w:t>
        </w:r>
      </w:hyperlink>
      <w:r w:rsidR="00F00FD3" w:rsidRPr="00755CEF">
        <w:rPr>
          <w:rFonts w:ascii="Calibri" w:hAnsi="Calibri" w:cs="Calibri"/>
          <w:bCs/>
          <w:sz w:val="24"/>
          <w:szCs w:val="24"/>
        </w:rPr>
        <w:t>, en los términos dispuestos en el artículo 117 del Reglamento de la Ley N° 19.886.</w:t>
      </w:r>
    </w:p>
    <w:p w14:paraId="23787829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</w:rPr>
      </w:pPr>
    </w:p>
    <w:p w14:paraId="5FA67F81" w14:textId="77777777" w:rsidR="00182F44" w:rsidRPr="00755CEF" w:rsidRDefault="00182F44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Incumplimientos</w:t>
      </w:r>
    </w:p>
    <w:p w14:paraId="11766410" w14:textId="77777777" w:rsidR="00182F44" w:rsidRPr="00755CEF" w:rsidRDefault="00182F44" w:rsidP="00755CE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5E97862" w14:textId="4289DB4D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En caso de incumplimientos 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el CFTRM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notificará formalmente las siguientes multas por incumplimiento:</w:t>
      </w:r>
    </w:p>
    <w:p w14:paraId="1350FBBF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0CB635CC" w14:textId="77777777" w:rsidR="00182F44" w:rsidRPr="00755CEF" w:rsidRDefault="00182F44" w:rsidP="005A2042">
      <w:pPr>
        <w:numPr>
          <w:ilvl w:val="0"/>
          <w:numId w:val="4"/>
        </w:numPr>
        <w:spacing w:line="276" w:lineRule="auto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Multas:</w:t>
      </w:r>
    </w:p>
    <w:p w14:paraId="453A8C0E" w14:textId="77777777" w:rsidR="00182F44" w:rsidRPr="00755CEF" w:rsidRDefault="00182F44" w:rsidP="00755CEF">
      <w:pPr>
        <w:spacing w:line="276" w:lineRule="auto"/>
        <w:rPr>
          <w:rFonts w:ascii="Calibri" w:hAnsi="Calibri" w:cs="Calibri"/>
          <w:spacing w:val="-3"/>
          <w:sz w:val="24"/>
          <w:szCs w:val="24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688"/>
      </w:tblGrid>
      <w:tr w:rsidR="00182F44" w:rsidRPr="00755CEF" w14:paraId="4FDBEB7B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D0B8" w14:textId="77777777" w:rsidR="00182F44" w:rsidRPr="00755CEF" w:rsidRDefault="00182F44" w:rsidP="00755CEF">
            <w:pPr>
              <w:spacing w:line="276" w:lineRule="auto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b/>
                <w:bCs/>
                <w:spacing w:val="-3"/>
                <w:sz w:val="24"/>
                <w:szCs w:val="24"/>
                <w:lang w:val="es-CL"/>
              </w:rPr>
              <w:t>Incumplimientos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28AB" w14:textId="77777777" w:rsidR="00182F44" w:rsidRPr="00755CEF" w:rsidRDefault="00182F44" w:rsidP="00755CEF">
            <w:pPr>
              <w:spacing w:line="276" w:lineRule="auto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b/>
                <w:bCs/>
                <w:spacing w:val="-3"/>
                <w:sz w:val="24"/>
                <w:szCs w:val="24"/>
                <w:lang w:val="es-CL"/>
              </w:rPr>
              <w:t>Multa (en UF)</w:t>
            </w:r>
          </w:p>
        </w:tc>
      </w:tr>
      <w:tr w:rsidR="00182F44" w:rsidRPr="00755CEF" w14:paraId="0F557894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B2D6" w14:textId="018C4112" w:rsidR="00182F44" w:rsidRPr="00755CEF" w:rsidRDefault="0045477E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45477E">
              <w:rPr>
                <w:rFonts w:ascii="Calibri" w:hAnsi="Calibri" w:cs="Calibri"/>
                <w:spacing w:val="-3"/>
                <w:sz w:val="24"/>
                <w:szCs w:val="24"/>
              </w:rPr>
              <w:t>Incumplimiento en plazos de ejecución y entrega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DD4" w14:textId="3CEE2700" w:rsidR="00182F44" w:rsidRPr="00755CEF" w:rsidRDefault="00E53494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E53494">
              <w:rPr>
                <w:rFonts w:ascii="Calibri" w:hAnsi="Calibri" w:cs="Calibri"/>
                <w:spacing w:val="-3"/>
                <w:sz w:val="24"/>
                <w:szCs w:val="24"/>
              </w:rPr>
              <w:t xml:space="preserve">UF 0,5 por cada hora de retraso en el inicio de faenas o en la entrega de 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baños </w:t>
            </w:r>
            <w:r w:rsidRPr="00E53494">
              <w:rPr>
                <w:rFonts w:ascii="Calibri" w:hAnsi="Calibri" w:cs="Calibri"/>
                <w:spacing w:val="-3"/>
                <w:sz w:val="24"/>
                <w:szCs w:val="24"/>
              </w:rPr>
              <w:t>con un tope de 8 horas de retraso.</w:t>
            </w:r>
          </w:p>
        </w:tc>
      </w:tr>
      <w:tr w:rsidR="00E817AA" w:rsidRPr="00755CEF" w14:paraId="0C1D270C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7FD6" w14:textId="6718D0B3" w:rsidR="00E817AA" w:rsidRPr="00755CEF" w:rsidRDefault="00BA3AD1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BA3AD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Incumplimiento en </w:t>
            </w:r>
            <w:r w:rsidR="006D7E97">
              <w:rPr>
                <w:rFonts w:ascii="Calibri" w:hAnsi="Calibri" w:cs="Calibri"/>
                <w:spacing w:val="-3"/>
                <w:sz w:val="24"/>
                <w:szCs w:val="24"/>
              </w:rPr>
              <w:t>h</w:t>
            </w:r>
            <w:r w:rsidRPr="00BA3AD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igiene y </w:t>
            </w:r>
            <w:r w:rsidR="006D7E97">
              <w:rPr>
                <w:rFonts w:ascii="Calibri" w:hAnsi="Calibri" w:cs="Calibri"/>
                <w:spacing w:val="-3"/>
                <w:sz w:val="24"/>
                <w:szCs w:val="24"/>
              </w:rPr>
              <w:t>s</w:t>
            </w:r>
            <w:r w:rsidRPr="00BA3AD1">
              <w:rPr>
                <w:rFonts w:ascii="Calibri" w:hAnsi="Calibri" w:cs="Calibri"/>
                <w:spacing w:val="-3"/>
                <w:sz w:val="24"/>
                <w:szCs w:val="24"/>
              </w:rPr>
              <w:t>eguridad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151" w14:textId="070D4D1D" w:rsidR="00E817AA" w:rsidRPr="00755CEF" w:rsidRDefault="00E817A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UF </w:t>
            </w:r>
            <w:r w:rsidR="002A6AEA"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3</w:t>
            </w: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 </w:t>
            </w:r>
            <w:r w:rsidR="00BA3AD1" w:rsidRPr="00BA3AD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por evento. Aplica si el contratista no </w:t>
            </w:r>
            <w:r w:rsidR="0015606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deja </w:t>
            </w:r>
            <w:r w:rsidR="00BA3AD1" w:rsidRPr="00BA3AD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las áreas con filtraciones </w:t>
            </w:r>
            <w:r w:rsidR="00156068">
              <w:rPr>
                <w:rFonts w:ascii="Calibri" w:hAnsi="Calibri" w:cs="Calibri"/>
                <w:spacing w:val="-3"/>
                <w:sz w:val="24"/>
                <w:szCs w:val="24"/>
              </w:rPr>
              <w:t>sin sanitización o</w:t>
            </w:r>
            <w:r w:rsidR="00BA3AD1" w:rsidRPr="00BA3AD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="006D7E97">
              <w:rPr>
                <w:rFonts w:ascii="Calibri" w:hAnsi="Calibri" w:cs="Calibri"/>
                <w:spacing w:val="-3"/>
                <w:sz w:val="24"/>
                <w:szCs w:val="24"/>
              </w:rPr>
              <w:t>con residuos</w:t>
            </w:r>
            <w:r w:rsidR="00BA3AD1" w:rsidRPr="00BA3AD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="006D7E97">
              <w:rPr>
                <w:rFonts w:ascii="Calibri" w:hAnsi="Calibri" w:cs="Calibri"/>
                <w:spacing w:val="-3"/>
                <w:sz w:val="24"/>
                <w:szCs w:val="24"/>
              </w:rPr>
              <w:t>y/</w:t>
            </w:r>
            <w:r w:rsidR="00BA3AD1" w:rsidRPr="00BA3AD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o escombros tras la jornada. </w:t>
            </w:r>
            <w:r w:rsidR="00704516">
              <w:rPr>
                <w:rFonts w:ascii="Calibri" w:hAnsi="Calibri" w:cs="Calibri"/>
                <w:spacing w:val="-3"/>
                <w:sz w:val="24"/>
                <w:szCs w:val="24"/>
              </w:rPr>
              <w:t>T</w:t>
            </w:r>
            <w:r w:rsidR="00901ECF">
              <w:rPr>
                <w:rFonts w:ascii="Calibri" w:hAnsi="Calibri" w:cs="Calibri"/>
                <w:spacing w:val="-3"/>
                <w:sz w:val="24"/>
                <w:szCs w:val="24"/>
              </w:rPr>
              <w:t>ope de 2 eventos.</w:t>
            </w:r>
          </w:p>
        </w:tc>
      </w:tr>
      <w:tr w:rsidR="002A6AEA" w:rsidRPr="00755CEF" w14:paraId="5C1E1F4C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B437" w14:textId="5D358B40" w:rsidR="002A6AEA" w:rsidRPr="00755CEF" w:rsidRDefault="004C0905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4C0905">
              <w:rPr>
                <w:rFonts w:ascii="Calibri" w:hAnsi="Calibri" w:cs="Calibri"/>
                <w:spacing w:val="-3"/>
                <w:sz w:val="24"/>
                <w:szCs w:val="24"/>
              </w:rPr>
              <w:t>Incumplimiento en Calidad Técnica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826" w14:textId="62D43759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UF </w:t>
            </w:r>
            <w:r w:rsidR="004C0905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5 </w:t>
            </w:r>
            <w:r w:rsidR="004C0905" w:rsidRPr="004C090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en caso de que una filtración reparada vuelva a manifestarse dentro de las </w:t>
            </w:r>
            <w:r w:rsidR="001A765B">
              <w:rPr>
                <w:rFonts w:ascii="Calibri" w:hAnsi="Calibri" w:cs="Calibri"/>
                <w:spacing w:val="-3"/>
                <w:sz w:val="24"/>
                <w:szCs w:val="24"/>
              </w:rPr>
              <w:t>72</w:t>
            </w:r>
            <w:r w:rsidR="004C0905" w:rsidRPr="004C090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horas </w:t>
            </w:r>
            <w:r w:rsidR="004C0905" w:rsidRPr="004C0905">
              <w:rPr>
                <w:rFonts w:ascii="Calibri" w:hAnsi="Calibri" w:cs="Calibri"/>
                <w:spacing w:val="-3"/>
                <w:sz w:val="24"/>
                <w:szCs w:val="24"/>
              </w:rPr>
              <w:lastRenderedPageBreak/>
              <w:t>posteriores debido a una mala ejecución o uso de materiales deficientes</w:t>
            </w:r>
            <w:r w:rsidR="00704516">
              <w:rPr>
                <w:rFonts w:ascii="Calibri" w:hAnsi="Calibri" w:cs="Calibri"/>
                <w:spacing w:val="-3"/>
                <w:sz w:val="24"/>
                <w:szCs w:val="24"/>
              </w:rPr>
              <w:t>. Tope</w:t>
            </w:r>
            <w:r w:rsidR="00901ECF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de 2 eventos.</w:t>
            </w:r>
          </w:p>
        </w:tc>
      </w:tr>
      <w:tr w:rsidR="002A6AEA" w:rsidRPr="00755CEF" w14:paraId="79EF4CF1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6C6D" w14:textId="13457B8E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lastRenderedPageBreak/>
              <w:t>Incumplimiento en la Calidad del servicio, Item tecnología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8536" w14:textId="554FB432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UF 5 </w:t>
            </w:r>
            <w:r w:rsidR="00704516" w:rsidRPr="00704516">
              <w:rPr>
                <w:rFonts w:ascii="Calibri" w:hAnsi="Calibri" w:cs="Calibri"/>
                <w:spacing w:val="-3"/>
                <w:sz w:val="24"/>
                <w:szCs w:val="24"/>
              </w:rPr>
              <w:t>si el personal no cuenta con sus elementos de protección personal (guantes, mascarillas, calzado) o no utiliza herramientas adecuadas para el destape, poniendo en riesgo la infraestructura. Tope de 2 eventos.</w:t>
            </w:r>
          </w:p>
        </w:tc>
      </w:tr>
      <w:tr w:rsidR="002A6AEA" w:rsidRPr="00755CEF" w14:paraId="294BCC29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896B" w14:textId="4CCBDABA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Incumplimiento en la calidad del servicio, Item cortesía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4D4" w14:textId="46CD49FE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UF 5 </w:t>
            </w:r>
            <w:r w:rsidR="00984507" w:rsidRPr="00984507">
              <w:rPr>
                <w:rFonts w:ascii="Calibri" w:hAnsi="Calibri" w:cs="Calibri"/>
                <w:spacing w:val="-3"/>
                <w:sz w:val="24"/>
                <w:szCs w:val="24"/>
              </w:rPr>
              <w:t>en caso de que el técnico no respete las normas de ingreso, use lenguaje inadecuado frente a estudiantes</w:t>
            </w:r>
            <w:r w:rsidR="00984507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o </w:t>
            </w:r>
            <w:r w:rsidR="00984507" w:rsidRPr="00984507">
              <w:rPr>
                <w:rFonts w:ascii="Calibri" w:hAnsi="Calibri" w:cs="Calibri"/>
                <w:spacing w:val="-3"/>
                <w:sz w:val="24"/>
                <w:szCs w:val="24"/>
              </w:rPr>
              <w:t>colaboradores o intervenga áreas no autorizadas sin previo aviso. Tope de 2 eventos.</w:t>
            </w:r>
          </w:p>
        </w:tc>
      </w:tr>
    </w:tbl>
    <w:p w14:paraId="556FA9EF" w14:textId="77777777" w:rsidR="00182F44" w:rsidRPr="00755CEF" w:rsidRDefault="00182F44" w:rsidP="00755CEF">
      <w:pPr>
        <w:spacing w:line="276" w:lineRule="auto"/>
        <w:ind w:left="284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37D726F7" w14:textId="0DD9496F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right="56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Las multas serán pagadas por </w:t>
      </w:r>
      <w:r w:rsidR="00D97D0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 sea sancionado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en los términos y condiciones que establezca </w:t>
      </w:r>
      <w:r w:rsidR="00D97D0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la </w:t>
      </w:r>
      <w:r w:rsidR="00755CEF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resolución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que las aplique.</w:t>
      </w:r>
    </w:p>
    <w:p w14:paraId="53FEB635" w14:textId="77777777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right="56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6DA0FF58" w14:textId="77777777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right="56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Las multas y el comportamiento general del proveedor serán informados en el Sistema de Información de Compras, de acuerdo con lo establecido en el artículo 96 </w:t>
      </w:r>
      <w:proofErr w:type="gramStart"/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bis.-</w:t>
      </w:r>
      <w:proofErr w:type="gramEnd"/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Comportamiento contractual anterior de los proveedores, del reglamento de la ley N° 19.886.</w:t>
      </w:r>
    </w:p>
    <w:p w14:paraId="483F80D9" w14:textId="77777777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right="56"/>
        <w:jc w:val="both"/>
        <w:rPr>
          <w:rFonts w:ascii="Calibri" w:hAnsi="Calibri" w:cs="Calibri"/>
          <w:b/>
          <w:bCs/>
          <w:spacing w:val="-3"/>
          <w:sz w:val="24"/>
          <w:szCs w:val="24"/>
          <w:lang w:val="es-CL"/>
        </w:rPr>
      </w:pPr>
    </w:p>
    <w:p w14:paraId="05DB2253" w14:textId="77777777" w:rsidR="00182F44" w:rsidRPr="00755CEF" w:rsidRDefault="00182F44" w:rsidP="005A2042">
      <w:pPr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pacing w:val="-3"/>
          <w:sz w:val="24"/>
          <w:szCs w:val="24"/>
          <w:lang w:val="es-CL"/>
        </w:rPr>
        <w:t>Procedimiento de cobro de multas:</w:t>
      </w:r>
    </w:p>
    <w:p w14:paraId="42C07529" w14:textId="77777777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left="284" w:right="56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6C5B89C6" w14:textId="759465FE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s-ES_tradnl"/>
        </w:rPr>
      </w:pPr>
      <w:r w:rsidRPr="00755CEF">
        <w:rPr>
          <w:rFonts w:ascii="Calibri" w:hAnsi="Calibri" w:cs="Calibri"/>
          <w:bCs/>
          <w:sz w:val="24"/>
          <w:szCs w:val="24"/>
          <w:lang w:val="es-CL" w:eastAsia="es-ES_tradnl"/>
        </w:rPr>
        <w:t>Una vez producido el incumplimiento l</w:t>
      </w:r>
      <w:r w:rsidR="00B70024" w:rsidRPr="00755CEF">
        <w:rPr>
          <w:rFonts w:ascii="Calibri" w:hAnsi="Calibri" w:cs="Calibri"/>
          <w:bCs/>
          <w:sz w:val="24"/>
          <w:szCs w:val="24"/>
          <w:lang w:val="es-CL" w:eastAsia="es-ES_tradnl"/>
        </w:rPr>
        <w:t>a entidad</w:t>
      </w:r>
      <w:r w:rsidRPr="00755CEF">
        <w:rPr>
          <w:rFonts w:ascii="Calibri" w:hAnsi="Calibri" w:cs="Calibri"/>
          <w:bCs/>
          <w:sz w:val="24"/>
          <w:szCs w:val="24"/>
          <w:lang w:val="es-CL" w:eastAsia="es-ES_tradnl"/>
        </w:rPr>
        <w:t xml:space="preserve"> notificará por escrito, mediante el acto administrativo correspondiente a quien preste el servicio, otorgando un plazo de cinco días hábiles a partir de su notificación, para que quien preste al servicio formule sus descargos en el plazo mencionado.</w:t>
      </w:r>
    </w:p>
    <w:p w14:paraId="0EC14FA4" w14:textId="77777777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s-ES_tradnl"/>
        </w:rPr>
      </w:pPr>
    </w:p>
    <w:p w14:paraId="291910D5" w14:textId="77777777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n-US"/>
        </w:rPr>
      </w:pPr>
      <w:r w:rsidRPr="00755CEF">
        <w:rPr>
          <w:rFonts w:ascii="Calibri" w:hAnsi="Calibri" w:cs="Calibri"/>
          <w:bCs/>
          <w:sz w:val="24"/>
          <w:szCs w:val="24"/>
          <w:lang w:val="es-CL"/>
        </w:rPr>
        <w:t>Las notificaciones por carta certificada se entenderán practicadas a contar del tercer día siguiente a su recepción.</w:t>
      </w:r>
    </w:p>
    <w:p w14:paraId="41A79571" w14:textId="77777777" w:rsidR="00F00FD3" w:rsidRPr="00755CEF" w:rsidRDefault="00F00FD3" w:rsidP="00755CEF">
      <w:pPr>
        <w:spacing w:line="276" w:lineRule="auto"/>
        <w:rPr>
          <w:rFonts w:ascii="Calibri" w:hAnsi="Calibri" w:cs="Calibri"/>
          <w:bCs/>
          <w:sz w:val="24"/>
          <w:szCs w:val="24"/>
          <w:lang w:val="es-CL"/>
        </w:rPr>
      </w:pPr>
    </w:p>
    <w:p w14:paraId="551CF6A0" w14:textId="77777777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/>
        </w:rPr>
      </w:pPr>
      <w:r w:rsidRPr="00755CEF">
        <w:rPr>
          <w:rFonts w:ascii="Calibri" w:hAnsi="Calibri" w:cs="Calibri"/>
          <w:bCs/>
          <w:sz w:val="24"/>
          <w:szCs w:val="24"/>
          <w:lang w:val="es-CL"/>
        </w:rPr>
        <w:t>Sin perjuicio de lo anterior, también podrá notificarse a través de los otros medios establecidos en la ley N°19.880 y sus modificaciones.</w:t>
      </w:r>
    </w:p>
    <w:p w14:paraId="532E4B84" w14:textId="77777777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s-ES_tradnl"/>
        </w:rPr>
      </w:pPr>
    </w:p>
    <w:p w14:paraId="4C3DA32A" w14:textId="3E7139D1" w:rsidR="00182F44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s-ES_tradnl"/>
        </w:rPr>
      </w:pPr>
      <w:r w:rsidRPr="00755CEF">
        <w:rPr>
          <w:rFonts w:ascii="Calibri" w:hAnsi="Calibri" w:cs="Calibri"/>
          <w:bCs/>
          <w:sz w:val="24"/>
          <w:szCs w:val="24"/>
          <w:lang w:val="es-CL" w:eastAsia="es-ES_tradnl"/>
        </w:rPr>
        <w:t>Las multas y el comportamiento general de quien preste el servicio serán informados en el Sistema de Información de Compras.</w:t>
      </w:r>
    </w:p>
    <w:p w14:paraId="73A957AC" w14:textId="77777777" w:rsidR="00182F44" w:rsidRPr="00755CEF" w:rsidRDefault="00182F44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Fuerza mayor o caso fortuito</w:t>
      </w:r>
    </w:p>
    <w:p w14:paraId="42956462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1CFE068A" w14:textId="77777777" w:rsidR="00B70024" w:rsidRPr="00755CEF" w:rsidRDefault="00B70024" w:rsidP="00755CEF">
      <w:p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No procederá la aplicación de multas ni la imposición de otras sanciones contractuales en aquellos casos en que el incumplimiento sea consecuencia directa de un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caso fortuito o fuerza mayor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, según lo establecido en el artículo 45 del Código Civil. Estas circunstancias deberán ser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debidamente acreditadas por el adjudicatario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y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calificadas por el CFT Región Metropolitana de Santiago</w:t>
      </w:r>
      <w:r w:rsidRPr="00755CEF">
        <w:rPr>
          <w:rFonts w:ascii="Calibri" w:hAnsi="Calibri" w:cs="Calibri"/>
          <w:sz w:val="24"/>
          <w:szCs w:val="24"/>
          <w:lang w:eastAsia="es-CL"/>
        </w:rPr>
        <w:t>, conforme al siguiente procedimiento:</w:t>
      </w:r>
    </w:p>
    <w:p w14:paraId="584DACD4" w14:textId="77777777" w:rsidR="00B70024" w:rsidRPr="00755CEF" w:rsidRDefault="00B70024" w:rsidP="00755CEF">
      <w:pPr>
        <w:spacing w:before="24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Procedimiento para la Calificación de Caso Fortuito o Fuerza Mayor</w:t>
      </w:r>
    </w:p>
    <w:p w14:paraId="36EC32E8" w14:textId="77777777" w:rsidR="00B70024" w:rsidRPr="00755CEF" w:rsidRDefault="00B70024" w:rsidP="005A2042">
      <w:pPr>
        <w:pStyle w:val="Prrafodelista"/>
        <w:numPr>
          <w:ilvl w:val="1"/>
          <w:numId w:val="10"/>
        </w:numPr>
        <w:spacing w:before="120" w:line="276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lastRenderedPageBreak/>
        <w:t xml:space="preserve">El proveedor deberá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notificar por escrito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a la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contraparte técnica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del CFT dentro del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plazo máximo de doce (12) horas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desde ocurrido el hecho que invoca como caso fortuito o fuerza mayor. La comunicación deberá contener una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descripción detallada de los hechos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y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adjuntar todos los antecedentes documentales que respalden la situación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alegada.</w:t>
      </w:r>
    </w:p>
    <w:p w14:paraId="1E69CBB8" w14:textId="77777777" w:rsidR="00B70024" w:rsidRPr="00755CEF" w:rsidRDefault="00B70024" w:rsidP="005A2042">
      <w:pPr>
        <w:pStyle w:val="Prrafodelista"/>
        <w:numPr>
          <w:ilvl w:val="1"/>
          <w:numId w:val="10"/>
        </w:numPr>
        <w:spacing w:before="120" w:line="276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Una vez recibida la notificación, el CFT evaluará los antecedentes y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emitirá una resolución fundada</w:t>
      </w:r>
      <w:r w:rsidRPr="00755CEF">
        <w:rPr>
          <w:rFonts w:ascii="Calibri" w:hAnsi="Calibri" w:cs="Calibri"/>
          <w:sz w:val="24"/>
          <w:szCs w:val="24"/>
          <w:lang w:eastAsia="es-CL"/>
        </w:rPr>
        <w:t>, aceptando o rechazando la solicitud, sobre la base del mérito de los antecedentes acompañados.</w:t>
      </w:r>
    </w:p>
    <w:p w14:paraId="5BB918B9" w14:textId="77777777" w:rsidR="00B70024" w:rsidRPr="00755CEF" w:rsidRDefault="00B70024" w:rsidP="00755CEF">
      <w:p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Efectos de la Calificación Positiva</w:t>
      </w:r>
    </w:p>
    <w:p w14:paraId="66F66AF7" w14:textId="77777777" w:rsidR="00B70024" w:rsidRPr="00755CEF" w:rsidRDefault="00B70024" w:rsidP="005A2042">
      <w:pPr>
        <w:numPr>
          <w:ilvl w:val="0"/>
          <w:numId w:val="8"/>
        </w:num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En caso de que el CFT califique favorablemente el evento como caso fortuito o fuerza mayor,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no se aplicarán las multas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contempladas en estas Bases, por los días o periodos comprendidos en la duración del evento, debidamente establecido.</w:t>
      </w:r>
    </w:p>
    <w:p w14:paraId="167265F1" w14:textId="77777777" w:rsidR="00B70024" w:rsidRPr="00755CEF" w:rsidRDefault="00B70024" w:rsidP="005A2042">
      <w:pPr>
        <w:numPr>
          <w:ilvl w:val="0"/>
          <w:numId w:val="8"/>
        </w:num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Si producto del caso fortuito o fuerza mayor fuese necesario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otorgar una prórroga en los plazos contractuales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, esta deberá constar expresamente en la resolución respectiva. Las multas establecidas en estas Bases se aplicarán, en su caso,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solo a partir del vencimiento del nuevo plazo otorgado</w:t>
      </w:r>
      <w:r w:rsidRPr="00755CEF">
        <w:rPr>
          <w:rFonts w:ascii="Calibri" w:hAnsi="Calibri" w:cs="Calibri"/>
          <w:sz w:val="24"/>
          <w:szCs w:val="24"/>
          <w:lang w:eastAsia="es-CL"/>
        </w:rPr>
        <w:t>.</w:t>
      </w:r>
    </w:p>
    <w:p w14:paraId="3DBD8AB8" w14:textId="77777777" w:rsidR="00B70024" w:rsidRPr="00755CEF" w:rsidRDefault="00B70024" w:rsidP="00755CEF">
      <w:pPr>
        <w:spacing w:before="24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Importante:</w:t>
      </w:r>
    </w:p>
    <w:p w14:paraId="2B7F8937" w14:textId="77777777" w:rsidR="00B70024" w:rsidRPr="00755CEF" w:rsidRDefault="00B70024" w:rsidP="005A2042">
      <w:pPr>
        <w:numPr>
          <w:ilvl w:val="0"/>
          <w:numId w:val="9"/>
        </w:num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>La carga de la prueba respecto del caso fortuito o fuerza mayor recae en el proveedor adjudicado.</w:t>
      </w:r>
    </w:p>
    <w:p w14:paraId="56BFCAB0" w14:textId="77777777" w:rsidR="00B70024" w:rsidRPr="00755CEF" w:rsidRDefault="00B70024" w:rsidP="005A2042">
      <w:pPr>
        <w:numPr>
          <w:ilvl w:val="0"/>
          <w:numId w:val="9"/>
        </w:num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La no presentación oportuna de los antecedentes, o su falta de suficiencia, habilitará al CFT para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rechazar la solicitud y mantener la aplicación de las sanciones contractuales</w:t>
      </w:r>
      <w:r w:rsidRPr="00755CEF">
        <w:rPr>
          <w:rFonts w:ascii="Calibri" w:hAnsi="Calibri" w:cs="Calibri"/>
          <w:sz w:val="24"/>
          <w:szCs w:val="24"/>
          <w:lang w:eastAsia="es-CL"/>
        </w:rPr>
        <w:t>.</w:t>
      </w:r>
    </w:p>
    <w:p w14:paraId="06BD45DB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</w:rPr>
      </w:pPr>
    </w:p>
    <w:p w14:paraId="262D9104" w14:textId="77777777" w:rsidR="00182F44" w:rsidRPr="00755CEF" w:rsidRDefault="00182F44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De la notificación de la selección, consultas sobre la misma y re-selección</w:t>
      </w:r>
    </w:p>
    <w:p w14:paraId="3D21119B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38AD4844" w14:textId="0FB95BA0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Notificación: 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El CFT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informará a </w:t>
      </w:r>
      <w:r w:rsidR="001C4C9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quienes coticen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del resultado de la compra ágil a través del portal de Mercado Público. </w:t>
      </w:r>
    </w:p>
    <w:p w14:paraId="6ABA3430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04710D54" w14:textId="1AE9449A" w:rsidR="00182F44" w:rsidRPr="00755CEF" w:rsidRDefault="00182F44" w:rsidP="00755CEF">
      <w:pPr>
        <w:shd w:val="clear" w:color="auto" w:fill="FFFFFF"/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Re - selección: Si </w:t>
      </w:r>
      <w:r w:rsidR="001C4C9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 sea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seleccionado se desiste de su oferta, no entrega los antecedentes que se le soliciten o no acepta la orden de compra</w:t>
      </w:r>
      <w:r w:rsidR="001C4C9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en los términos previstos en la presente compra ágil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, el CFT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dejará sin efecto la selección y podrá seleccionar al oferente que, </w:t>
      </w:r>
      <w:proofErr w:type="gramStart"/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de acuerdo al</w:t>
      </w:r>
      <w:proofErr w:type="gramEnd"/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resultado le siga en cumplimiento, de lo contrario podrá </w:t>
      </w:r>
      <w:r w:rsidR="001C4C9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“cancelar”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la compra ágil.</w:t>
      </w:r>
    </w:p>
    <w:p w14:paraId="0018F49C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586CB4C6" w14:textId="52756E8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En consecuencia, cualquier incumplimiento </w:t>
      </w:r>
      <w:r w:rsidR="00E94306" w:rsidRPr="00755CEF">
        <w:rPr>
          <w:rFonts w:ascii="Calibri" w:hAnsi="Calibri" w:cs="Calibri"/>
          <w:spacing w:val="-3"/>
          <w:sz w:val="24"/>
          <w:szCs w:val="24"/>
          <w:lang w:val="es-CL"/>
        </w:rPr>
        <w:t>de quien se seleccione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, facultará a 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al CFTRM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para dejar sin efecto la compra ágil y re-seleccionar al oferente que haya obtenido la segunda ubicación.</w:t>
      </w:r>
    </w:p>
    <w:p w14:paraId="61590CE3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71EA144" w14:textId="7F1B2A1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Consultas y reclamos: </w:t>
      </w:r>
      <w:r w:rsidR="00E9430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Quienes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tengan consultas respecto de la selección o de su proceso, podrán realizar formalmente sus consultas a través </w:t>
      </w:r>
      <w:r w:rsidR="00B65D1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de la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casilla de correo electrónico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: catalina.faundez@santiagocft.cl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, </w:t>
      </w:r>
      <w:r w:rsidR="00B65D1A" w:rsidRPr="00755CEF">
        <w:rPr>
          <w:rFonts w:ascii="Calibri" w:hAnsi="Calibri" w:cs="Calibri"/>
          <w:spacing w:val="-3"/>
          <w:sz w:val="24"/>
          <w:szCs w:val="24"/>
          <w:lang w:val="es-CL"/>
        </w:rPr>
        <w:t>lo que se responderá en u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n plazo no superior a </w:t>
      </w:r>
      <w:r w:rsidR="00B65D1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2 días hábiles. Del mismo modo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podrán presentar sus reclamos a través de la plataforma de probidad activa dispuesta en el sistema de información de compras y contrataciones públicas </w:t>
      </w:r>
      <w:hyperlink r:id="rId13" w:history="1">
        <w:r w:rsidRPr="00755CEF">
          <w:rPr>
            <w:rFonts w:ascii="Calibri" w:hAnsi="Calibri" w:cs="Calibri"/>
            <w:spacing w:val="-3"/>
            <w:sz w:val="24"/>
            <w:szCs w:val="24"/>
            <w:lang w:val="es-CL"/>
          </w:rPr>
          <w:t>www.mercadopublico.cl</w:t>
        </w:r>
      </w:hyperlink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. </w:t>
      </w:r>
    </w:p>
    <w:p w14:paraId="5B420116" w14:textId="77777777" w:rsidR="00646463" w:rsidRPr="00755CEF" w:rsidRDefault="00646463" w:rsidP="00755CEF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B2D4043" w14:textId="1C8EC984" w:rsidR="001C4C9A" w:rsidRPr="00755CEF" w:rsidRDefault="003F1162" w:rsidP="005A2042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Responsabilidad de quien cotice:</w:t>
      </w:r>
    </w:p>
    <w:p w14:paraId="3F538B00" w14:textId="67AFDC97" w:rsidR="007D0DD2" w:rsidRPr="00755CEF" w:rsidRDefault="00B7002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El CFTRM </w:t>
      </w:r>
      <w:r w:rsidR="007D0DD2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no se responsabiliza por el uso incorrecto de las plataformas digitales, los aplicativos o la página web de ChileCompra </w:t>
      </w:r>
      <w:hyperlink r:id="rId14" w:history="1">
        <w:r w:rsidR="007D0DD2" w:rsidRPr="00755CEF">
          <w:rPr>
            <w:rFonts w:ascii="Calibri" w:hAnsi="Calibri" w:cs="Calibri"/>
            <w:spacing w:val="-3"/>
            <w:sz w:val="24"/>
            <w:szCs w:val="24"/>
            <w:lang w:val="es-CL"/>
          </w:rPr>
          <w:t>www.mercadopublico.cl</w:t>
        </w:r>
      </w:hyperlink>
      <w:r w:rsidR="007D0DD2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, siendo de responsabilidad de cada proveedor, </w:t>
      </w:r>
      <w:r w:rsidR="007D0DD2" w:rsidRPr="00755CEF">
        <w:rPr>
          <w:rFonts w:ascii="Calibri" w:hAnsi="Calibri" w:cs="Calibri"/>
          <w:spacing w:val="-3"/>
          <w:sz w:val="24"/>
          <w:szCs w:val="24"/>
          <w:lang w:val="es-CL"/>
        </w:rPr>
        <w:lastRenderedPageBreak/>
        <w:t xml:space="preserve">proporcionar la información requerida por el sistema electrónico de contratación y por las presentes bases, para la correcta y completa presentación de ofertas. El uso incorrecto de los recursos electrónicos necesarios para este proceso de contratación facultará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al CFT</w:t>
      </w:r>
      <w:r w:rsidR="003F1162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</w:t>
      </w:r>
      <w:r w:rsidR="007D0DD2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para rechazar las ofertas. </w:t>
      </w:r>
    </w:p>
    <w:p w14:paraId="60412C76" w14:textId="77777777" w:rsidR="007D0DD2" w:rsidRPr="00F31CDB" w:rsidRDefault="007D0DD2" w:rsidP="00921ED9">
      <w:pPr>
        <w:pStyle w:val="NormalWeb"/>
        <w:spacing w:before="0" w:beforeAutospacing="0" w:after="0" w:afterAutospacing="0" w:line="22" w:lineRule="atLeast"/>
        <w:jc w:val="both"/>
        <w:rPr>
          <w:rFonts w:ascii="Calibri" w:hAnsi="Calibri" w:cs="Calibri"/>
          <w:spacing w:val="-3"/>
          <w:lang w:eastAsia="es-ES"/>
        </w:rPr>
      </w:pPr>
    </w:p>
    <w:sectPr w:rsidR="007D0DD2" w:rsidRPr="00F31CDB" w:rsidSect="00C81939">
      <w:headerReference w:type="default" r:id="rId15"/>
      <w:footerReference w:type="default" r:id="rId16"/>
      <w:pgSz w:w="12240" w:h="18720" w:code="14"/>
      <w:pgMar w:top="1985" w:right="1418" w:bottom="1418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4CCB" w14:textId="77777777" w:rsidR="00A27771" w:rsidRDefault="00A27771" w:rsidP="00C00839">
      <w:r>
        <w:separator/>
      </w:r>
    </w:p>
  </w:endnote>
  <w:endnote w:type="continuationSeparator" w:id="0">
    <w:p w14:paraId="3A9B5B03" w14:textId="77777777" w:rsidR="00A27771" w:rsidRDefault="00A27771" w:rsidP="00C0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Tahoma"/>
    <w:charset w:val="EE"/>
    <w:family w:val="script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579599"/>
      <w:docPartObj>
        <w:docPartGallery w:val="Page Numbers (Bottom of Page)"/>
        <w:docPartUnique/>
      </w:docPartObj>
    </w:sdtPr>
    <w:sdtEndPr/>
    <w:sdtContent>
      <w:p w14:paraId="1AAF1B11" w14:textId="15FEEF21" w:rsidR="008353C1" w:rsidRDefault="008353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6AFC75D" w14:textId="77777777" w:rsidR="00CB41C2" w:rsidRDefault="00CB4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EDA0" w14:textId="77777777" w:rsidR="00A27771" w:rsidRDefault="00A27771" w:rsidP="00C00839">
      <w:r>
        <w:separator/>
      </w:r>
    </w:p>
  </w:footnote>
  <w:footnote w:type="continuationSeparator" w:id="0">
    <w:p w14:paraId="301BBEED" w14:textId="77777777" w:rsidR="00A27771" w:rsidRDefault="00A27771" w:rsidP="00C0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4EBC" w14:textId="6697DF04" w:rsidR="00750583" w:rsidRDefault="00B70024">
    <w:pPr>
      <w:pStyle w:val="Encabezado"/>
    </w:pPr>
    <w:r>
      <w:rPr>
        <w:noProof/>
      </w:rPr>
      <w:drawing>
        <wp:inline distT="0" distB="0" distL="0" distR="0" wp14:anchorId="56D51BC5" wp14:editId="52DC7E4C">
          <wp:extent cx="2170430" cy="603250"/>
          <wp:effectExtent l="0" t="0" r="1270" b="6350"/>
          <wp:docPr id="7647299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355"/>
    <w:multiLevelType w:val="hybridMultilevel"/>
    <w:tmpl w:val="673E3F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6E3"/>
    <w:multiLevelType w:val="hybridMultilevel"/>
    <w:tmpl w:val="FA9262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29E7"/>
    <w:multiLevelType w:val="hybridMultilevel"/>
    <w:tmpl w:val="F21220AC"/>
    <w:lvl w:ilvl="0" w:tplc="E892B6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92C3A"/>
    <w:multiLevelType w:val="hybridMultilevel"/>
    <w:tmpl w:val="E766C77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C30F0"/>
    <w:multiLevelType w:val="hybridMultilevel"/>
    <w:tmpl w:val="173009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20C1"/>
    <w:multiLevelType w:val="multilevel"/>
    <w:tmpl w:val="6F6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63439"/>
    <w:multiLevelType w:val="multilevel"/>
    <w:tmpl w:val="DBA0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F7499"/>
    <w:multiLevelType w:val="hybridMultilevel"/>
    <w:tmpl w:val="0144C4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11FEE"/>
    <w:multiLevelType w:val="multilevel"/>
    <w:tmpl w:val="645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63C8E"/>
    <w:multiLevelType w:val="hybridMultilevel"/>
    <w:tmpl w:val="AD6C8A3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33070D"/>
    <w:multiLevelType w:val="multilevel"/>
    <w:tmpl w:val="628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21F76"/>
    <w:multiLevelType w:val="hybridMultilevel"/>
    <w:tmpl w:val="446C4B6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5B0303"/>
    <w:multiLevelType w:val="multilevel"/>
    <w:tmpl w:val="76E4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390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06719">
    <w:abstractNumId w:val="11"/>
  </w:num>
  <w:num w:numId="3" w16cid:durableId="527723998">
    <w:abstractNumId w:val="9"/>
  </w:num>
  <w:num w:numId="4" w16cid:durableId="977222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7460553">
    <w:abstractNumId w:val="0"/>
  </w:num>
  <w:num w:numId="6" w16cid:durableId="1099984589">
    <w:abstractNumId w:val="7"/>
  </w:num>
  <w:num w:numId="7" w16cid:durableId="1733967401">
    <w:abstractNumId w:val="2"/>
  </w:num>
  <w:num w:numId="8" w16cid:durableId="1213270514">
    <w:abstractNumId w:val="6"/>
  </w:num>
  <w:num w:numId="9" w16cid:durableId="227542587">
    <w:abstractNumId w:val="5"/>
  </w:num>
  <w:num w:numId="10" w16cid:durableId="1485506587">
    <w:abstractNumId w:val="3"/>
  </w:num>
  <w:num w:numId="11" w16cid:durableId="2096514110">
    <w:abstractNumId w:val="12"/>
  </w:num>
  <w:num w:numId="12" w16cid:durableId="1423212198">
    <w:abstractNumId w:val="8"/>
  </w:num>
  <w:num w:numId="13" w16cid:durableId="114539482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06"/>
    <w:rsid w:val="00000A9B"/>
    <w:rsid w:val="00002CD2"/>
    <w:rsid w:val="00007441"/>
    <w:rsid w:val="00007ACF"/>
    <w:rsid w:val="00007ECD"/>
    <w:rsid w:val="00010032"/>
    <w:rsid w:val="000110E7"/>
    <w:rsid w:val="00012B30"/>
    <w:rsid w:val="00012B81"/>
    <w:rsid w:val="0001353A"/>
    <w:rsid w:val="0001359F"/>
    <w:rsid w:val="00014B5D"/>
    <w:rsid w:val="000166D7"/>
    <w:rsid w:val="00017249"/>
    <w:rsid w:val="0002222F"/>
    <w:rsid w:val="00025D4A"/>
    <w:rsid w:val="00026C08"/>
    <w:rsid w:val="00027998"/>
    <w:rsid w:val="0003046C"/>
    <w:rsid w:val="00030B71"/>
    <w:rsid w:val="00030D26"/>
    <w:rsid w:val="00037632"/>
    <w:rsid w:val="00042ACD"/>
    <w:rsid w:val="00042F47"/>
    <w:rsid w:val="000440CB"/>
    <w:rsid w:val="00045E60"/>
    <w:rsid w:val="00045ECA"/>
    <w:rsid w:val="000478B2"/>
    <w:rsid w:val="00050F20"/>
    <w:rsid w:val="00052E60"/>
    <w:rsid w:val="000579BC"/>
    <w:rsid w:val="00063B80"/>
    <w:rsid w:val="00065198"/>
    <w:rsid w:val="00066A99"/>
    <w:rsid w:val="00073E91"/>
    <w:rsid w:val="00075096"/>
    <w:rsid w:val="00094535"/>
    <w:rsid w:val="00096298"/>
    <w:rsid w:val="000A32D6"/>
    <w:rsid w:val="000A4F8D"/>
    <w:rsid w:val="000A5D4B"/>
    <w:rsid w:val="000A6715"/>
    <w:rsid w:val="000A6CBA"/>
    <w:rsid w:val="000B21BB"/>
    <w:rsid w:val="000B3C20"/>
    <w:rsid w:val="000B50DA"/>
    <w:rsid w:val="000C196B"/>
    <w:rsid w:val="000C30A5"/>
    <w:rsid w:val="000C34D9"/>
    <w:rsid w:val="000C3FF7"/>
    <w:rsid w:val="000C773A"/>
    <w:rsid w:val="000D0FDB"/>
    <w:rsid w:val="000D17D6"/>
    <w:rsid w:val="000D44FC"/>
    <w:rsid w:val="000E6615"/>
    <w:rsid w:val="000F2AC7"/>
    <w:rsid w:val="00101C61"/>
    <w:rsid w:val="00104201"/>
    <w:rsid w:val="001062E0"/>
    <w:rsid w:val="001065FD"/>
    <w:rsid w:val="00110574"/>
    <w:rsid w:val="00111894"/>
    <w:rsid w:val="00112FF5"/>
    <w:rsid w:val="001202DD"/>
    <w:rsid w:val="001224EE"/>
    <w:rsid w:val="001246C0"/>
    <w:rsid w:val="00124F3B"/>
    <w:rsid w:val="00126404"/>
    <w:rsid w:val="00127058"/>
    <w:rsid w:val="00127843"/>
    <w:rsid w:val="00130E52"/>
    <w:rsid w:val="00133DB4"/>
    <w:rsid w:val="00134268"/>
    <w:rsid w:val="001348B5"/>
    <w:rsid w:val="001349E4"/>
    <w:rsid w:val="00135368"/>
    <w:rsid w:val="001360FC"/>
    <w:rsid w:val="00136479"/>
    <w:rsid w:val="00136E5C"/>
    <w:rsid w:val="001379D7"/>
    <w:rsid w:val="00141EDF"/>
    <w:rsid w:val="001439BE"/>
    <w:rsid w:val="00151072"/>
    <w:rsid w:val="00152F03"/>
    <w:rsid w:val="00153951"/>
    <w:rsid w:val="00154514"/>
    <w:rsid w:val="00154C76"/>
    <w:rsid w:val="00155E9C"/>
    <w:rsid w:val="00156068"/>
    <w:rsid w:val="00160947"/>
    <w:rsid w:val="00175559"/>
    <w:rsid w:val="00182F44"/>
    <w:rsid w:val="001835D0"/>
    <w:rsid w:val="00183E3B"/>
    <w:rsid w:val="001843A3"/>
    <w:rsid w:val="00184692"/>
    <w:rsid w:val="00190EF5"/>
    <w:rsid w:val="00190F6D"/>
    <w:rsid w:val="0019134D"/>
    <w:rsid w:val="00191DA3"/>
    <w:rsid w:val="001A4158"/>
    <w:rsid w:val="001A4A89"/>
    <w:rsid w:val="001A4C69"/>
    <w:rsid w:val="001A765B"/>
    <w:rsid w:val="001B06A0"/>
    <w:rsid w:val="001B17E8"/>
    <w:rsid w:val="001B1D49"/>
    <w:rsid w:val="001B3241"/>
    <w:rsid w:val="001B332E"/>
    <w:rsid w:val="001B4EC3"/>
    <w:rsid w:val="001B57A4"/>
    <w:rsid w:val="001B5FCD"/>
    <w:rsid w:val="001C0900"/>
    <w:rsid w:val="001C4045"/>
    <w:rsid w:val="001C4C9A"/>
    <w:rsid w:val="001D0349"/>
    <w:rsid w:val="001D03B3"/>
    <w:rsid w:val="001D495B"/>
    <w:rsid w:val="001D5B69"/>
    <w:rsid w:val="001E0AC6"/>
    <w:rsid w:val="001E0E14"/>
    <w:rsid w:val="001E66C4"/>
    <w:rsid w:val="001E791F"/>
    <w:rsid w:val="00200CCE"/>
    <w:rsid w:val="002108E3"/>
    <w:rsid w:val="00221B47"/>
    <w:rsid w:val="00231FF2"/>
    <w:rsid w:val="00232B97"/>
    <w:rsid w:val="0023558C"/>
    <w:rsid w:val="0023631D"/>
    <w:rsid w:val="00241C4E"/>
    <w:rsid w:val="002439C0"/>
    <w:rsid w:val="00244A31"/>
    <w:rsid w:val="00247574"/>
    <w:rsid w:val="00250128"/>
    <w:rsid w:val="00251949"/>
    <w:rsid w:val="00254BE6"/>
    <w:rsid w:val="00255883"/>
    <w:rsid w:val="002632A9"/>
    <w:rsid w:val="00264AA1"/>
    <w:rsid w:val="002672AB"/>
    <w:rsid w:val="00270F2A"/>
    <w:rsid w:val="00271F47"/>
    <w:rsid w:val="00276333"/>
    <w:rsid w:val="00276627"/>
    <w:rsid w:val="00277D02"/>
    <w:rsid w:val="00283693"/>
    <w:rsid w:val="00285F8D"/>
    <w:rsid w:val="00286622"/>
    <w:rsid w:val="00287497"/>
    <w:rsid w:val="00291874"/>
    <w:rsid w:val="00293871"/>
    <w:rsid w:val="002939C8"/>
    <w:rsid w:val="00295689"/>
    <w:rsid w:val="00297F9E"/>
    <w:rsid w:val="002A218B"/>
    <w:rsid w:val="002A2721"/>
    <w:rsid w:val="002A2965"/>
    <w:rsid w:val="002A62AD"/>
    <w:rsid w:val="002A6AEA"/>
    <w:rsid w:val="002B0C1A"/>
    <w:rsid w:val="002B1C9B"/>
    <w:rsid w:val="002B257C"/>
    <w:rsid w:val="002B35BC"/>
    <w:rsid w:val="002B5182"/>
    <w:rsid w:val="002B5B67"/>
    <w:rsid w:val="002C18AE"/>
    <w:rsid w:val="002C47B6"/>
    <w:rsid w:val="002C6271"/>
    <w:rsid w:val="002C64A4"/>
    <w:rsid w:val="002D3BB5"/>
    <w:rsid w:val="002E161D"/>
    <w:rsid w:val="002E2E47"/>
    <w:rsid w:val="002E6CA5"/>
    <w:rsid w:val="002F2BB1"/>
    <w:rsid w:val="00301EC7"/>
    <w:rsid w:val="00302985"/>
    <w:rsid w:val="00305FAC"/>
    <w:rsid w:val="00311AB1"/>
    <w:rsid w:val="00313BE0"/>
    <w:rsid w:val="00314C03"/>
    <w:rsid w:val="00320405"/>
    <w:rsid w:val="003211A0"/>
    <w:rsid w:val="00321560"/>
    <w:rsid w:val="00322D7E"/>
    <w:rsid w:val="00325E0A"/>
    <w:rsid w:val="0032644D"/>
    <w:rsid w:val="00330B63"/>
    <w:rsid w:val="003345E9"/>
    <w:rsid w:val="003367CF"/>
    <w:rsid w:val="00344E58"/>
    <w:rsid w:val="00344E6F"/>
    <w:rsid w:val="00350485"/>
    <w:rsid w:val="0035286C"/>
    <w:rsid w:val="00355ADE"/>
    <w:rsid w:val="0035621A"/>
    <w:rsid w:val="0036164B"/>
    <w:rsid w:val="003652E5"/>
    <w:rsid w:val="003653FB"/>
    <w:rsid w:val="00367E5E"/>
    <w:rsid w:val="00371CD5"/>
    <w:rsid w:val="003738D0"/>
    <w:rsid w:val="00375680"/>
    <w:rsid w:val="003802FB"/>
    <w:rsid w:val="00380C96"/>
    <w:rsid w:val="003811C3"/>
    <w:rsid w:val="00381243"/>
    <w:rsid w:val="0038138E"/>
    <w:rsid w:val="00384599"/>
    <w:rsid w:val="00395983"/>
    <w:rsid w:val="003A3A08"/>
    <w:rsid w:val="003A3C16"/>
    <w:rsid w:val="003A5460"/>
    <w:rsid w:val="003A7525"/>
    <w:rsid w:val="003B02C3"/>
    <w:rsid w:val="003B2BF7"/>
    <w:rsid w:val="003B464D"/>
    <w:rsid w:val="003B73C9"/>
    <w:rsid w:val="003C3119"/>
    <w:rsid w:val="003C5880"/>
    <w:rsid w:val="003D34C8"/>
    <w:rsid w:val="003E420E"/>
    <w:rsid w:val="003E5918"/>
    <w:rsid w:val="003E7189"/>
    <w:rsid w:val="003E7822"/>
    <w:rsid w:val="003F1162"/>
    <w:rsid w:val="003F38A4"/>
    <w:rsid w:val="003F5E0F"/>
    <w:rsid w:val="003F6F4D"/>
    <w:rsid w:val="00403A06"/>
    <w:rsid w:val="004046C6"/>
    <w:rsid w:val="00405CF6"/>
    <w:rsid w:val="004064B0"/>
    <w:rsid w:val="004112E7"/>
    <w:rsid w:val="00411E1F"/>
    <w:rsid w:val="0041695C"/>
    <w:rsid w:val="00421B9D"/>
    <w:rsid w:val="00424739"/>
    <w:rsid w:val="00424E7D"/>
    <w:rsid w:val="00427B4D"/>
    <w:rsid w:val="00430732"/>
    <w:rsid w:val="00431901"/>
    <w:rsid w:val="00431B3D"/>
    <w:rsid w:val="00433003"/>
    <w:rsid w:val="00434C0D"/>
    <w:rsid w:val="00441327"/>
    <w:rsid w:val="00442A8A"/>
    <w:rsid w:val="004440A4"/>
    <w:rsid w:val="00444870"/>
    <w:rsid w:val="00445F9F"/>
    <w:rsid w:val="0045477E"/>
    <w:rsid w:val="00454ECE"/>
    <w:rsid w:val="00456A09"/>
    <w:rsid w:val="00463C58"/>
    <w:rsid w:val="0046429A"/>
    <w:rsid w:val="0047735B"/>
    <w:rsid w:val="00487621"/>
    <w:rsid w:val="00491662"/>
    <w:rsid w:val="00492B34"/>
    <w:rsid w:val="004A1E8D"/>
    <w:rsid w:val="004A26A0"/>
    <w:rsid w:val="004A3C71"/>
    <w:rsid w:val="004A5F23"/>
    <w:rsid w:val="004A64C8"/>
    <w:rsid w:val="004B17B2"/>
    <w:rsid w:val="004B2208"/>
    <w:rsid w:val="004B61FE"/>
    <w:rsid w:val="004B7F50"/>
    <w:rsid w:val="004C058D"/>
    <w:rsid w:val="004C0905"/>
    <w:rsid w:val="004C1B79"/>
    <w:rsid w:val="004C236A"/>
    <w:rsid w:val="004C2EF6"/>
    <w:rsid w:val="004C47A0"/>
    <w:rsid w:val="004C7490"/>
    <w:rsid w:val="004C7C92"/>
    <w:rsid w:val="004D0187"/>
    <w:rsid w:val="004D0DB8"/>
    <w:rsid w:val="004D2CEC"/>
    <w:rsid w:val="004E0154"/>
    <w:rsid w:val="004E6576"/>
    <w:rsid w:val="004E7FE5"/>
    <w:rsid w:val="004F027A"/>
    <w:rsid w:val="004F2493"/>
    <w:rsid w:val="004F329E"/>
    <w:rsid w:val="004F4022"/>
    <w:rsid w:val="004F5467"/>
    <w:rsid w:val="004F54BB"/>
    <w:rsid w:val="00500602"/>
    <w:rsid w:val="005045DA"/>
    <w:rsid w:val="00505DE3"/>
    <w:rsid w:val="00505E1F"/>
    <w:rsid w:val="00506EE8"/>
    <w:rsid w:val="00510246"/>
    <w:rsid w:val="005110C5"/>
    <w:rsid w:val="005118EE"/>
    <w:rsid w:val="00516512"/>
    <w:rsid w:val="00533C1E"/>
    <w:rsid w:val="00534598"/>
    <w:rsid w:val="00536780"/>
    <w:rsid w:val="00540F0A"/>
    <w:rsid w:val="00543AE2"/>
    <w:rsid w:val="0054534D"/>
    <w:rsid w:val="00546B8E"/>
    <w:rsid w:val="00547635"/>
    <w:rsid w:val="00552A58"/>
    <w:rsid w:val="0055341A"/>
    <w:rsid w:val="005535BC"/>
    <w:rsid w:val="005538A3"/>
    <w:rsid w:val="0056138A"/>
    <w:rsid w:val="00563998"/>
    <w:rsid w:val="00563BE2"/>
    <w:rsid w:val="00567DDF"/>
    <w:rsid w:val="005826CC"/>
    <w:rsid w:val="00586065"/>
    <w:rsid w:val="00597297"/>
    <w:rsid w:val="005972C1"/>
    <w:rsid w:val="005A2042"/>
    <w:rsid w:val="005A73A8"/>
    <w:rsid w:val="005B31B3"/>
    <w:rsid w:val="005B67AE"/>
    <w:rsid w:val="005C02D2"/>
    <w:rsid w:val="005C1DAC"/>
    <w:rsid w:val="005C2AE5"/>
    <w:rsid w:val="005C770B"/>
    <w:rsid w:val="005D02BA"/>
    <w:rsid w:val="005D225F"/>
    <w:rsid w:val="005D4197"/>
    <w:rsid w:val="005D54DB"/>
    <w:rsid w:val="005D585A"/>
    <w:rsid w:val="005D7323"/>
    <w:rsid w:val="005E4AA7"/>
    <w:rsid w:val="005F21A5"/>
    <w:rsid w:val="005F7404"/>
    <w:rsid w:val="00600E68"/>
    <w:rsid w:val="0060612F"/>
    <w:rsid w:val="006109F4"/>
    <w:rsid w:val="00614014"/>
    <w:rsid w:val="00615466"/>
    <w:rsid w:val="00616A47"/>
    <w:rsid w:val="00624774"/>
    <w:rsid w:val="00624BAF"/>
    <w:rsid w:val="00626050"/>
    <w:rsid w:val="006275E2"/>
    <w:rsid w:val="006300F4"/>
    <w:rsid w:val="00630A72"/>
    <w:rsid w:val="00635C34"/>
    <w:rsid w:val="00636320"/>
    <w:rsid w:val="006372E1"/>
    <w:rsid w:val="00637625"/>
    <w:rsid w:val="00637E0E"/>
    <w:rsid w:val="00637FF8"/>
    <w:rsid w:val="0064201A"/>
    <w:rsid w:val="0064380C"/>
    <w:rsid w:val="00645C78"/>
    <w:rsid w:val="00646134"/>
    <w:rsid w:val="00646463"/>
    <w:rsid w:val="00646CBE"/>
    <w:rsid w:val="00650D62"/>
    <w:rsid w:val="00650EFC"/>
    <w:rsid w:val="006515B9"/>
    <w:rsid w:val="00656135"/>
    <w:rsid w:val="006605B9"/>
    <w:rsid w:val="00663A30"/>
    <w:rsid w:val="00663AE9"/>
    <w:rsid w:val="00670644"/>
    <w:rsid w:val="00671AB7"/>
    <w:rsid w:val="00671E21"/>
    <w:rsid w:val="0067423B"/>
    <w:rsid w:val="006761B7"/>
    <w:rsid w:val="00676A5C"/>
    <w:rsid w:val="006842E0"/>
    <w:rsid w:val="00686621"/>
    <w:rsid w:val="00690B40"/>
    <w:rsid w:val="00691C70"/>
    <w:rsid w:val="006940D6"/>
    <w:rsid w:val="00694A5A"/>
    <w:rsid w:val="00694C32"/>
    <w:rsid w:val="006A1FAA"/>
    <w:rsid w:val="006A2655"/>
    <w:rsid w:val="006A2985"/>
    <w:rsid w:val="006A37D5"/>
    <w:rsid w:val="006B13E6"/>
    <w:rsid w:val="006B39C9"/>
    <w:rsid w:val="006B4957"/>
    <w:rsid w:val="006B6FDB"/>
    <w:rsid w:val="006B7432"/>
    <w:rsid w:val="006C0F01"/>
    <w:rsid w:val="006C2D71"/>
    <w:rsid w:val="006C70C6"/>
    <w:rsid w:val="006D0409"/>
    <w:rsid w:val="006D1838"/>
    <w:rsid w:val="006D4CB0"/>
    <w:rsid w:val="006D621E"/>
    <w:rsid w:val="006D7E97"/>
    <w:rsid w:val="006E11AF"/>
    <w:rsid w:val="006E3618"/>
    <w:rsid w:val="006E46C6"/>
    <w:rsid w:val="006E5716"/>
    <w:rsid w:val="006F0F06"/>
    <w:rsid w:val="006F155E"/>
    <w:rsid w:val="00704516"/>
    <w:rsid w:val="0070600F"/>
    <w:rsid w:val="00706904"/>
    <w:rsid w:val="00710668"/>
    <w:rsid w:val="00712BE0"/>
    <w:rsid w:val="00715168"/>
    <w:rsid w:val="00715D54"/>
    <w:rsid w:val="0072136B"/>
    <w:rsid w:val="00721373"/>
    <w:rsid w:val="00723450"/>
    <w:rsid w:val="00726FDC"/>
    <w:rsid w:val="00727B5E"/>
    <w:rsid w:val="00730CC2"/>
    <w:rsid w:val="007318B6"/>
    <w:rsid w:val="007400B1"/>
    <w:rsid w:val="00744798"/>
    <w:rsid w:val="00746118"/>
    <w:rsid w:val="00746F72"/>
    <w:rsid w:val="00750583"/>
    <w:rsid w:val="00754BC5"/>
    <w:rsid w:val="00755CEF"/>
    <w:rsid w:val="00755DB2"/>
    <w:rsid w:val="007561CF"/>
    <w:rsid w:val="007629FF"/>
    <w:rsid w:val="00762CE6"/>
    <w:rsid w:val="00773453"/>
    <w:rsid w:val="00782C13"/>
    <w:rsid w:val="00782EC2"/>
    <w:rsid w:val="007848FB"/>
    <w:rsid w:val="00784A3E"/>
    <w:rsid w:val="00785B1D"/>
    <w:rsid w:val="007935AF"/>
    <w:rsid w:val="00794471"/>
    <w:rsid w:val="0079643C"/>
    <w:rsid w:val="007972CB"/>
    <w:rsid w:val="007A04A6"/>
    <w:rsid w:val="007A0D29"/>
    <w:rsid w:val="007A1317"/>
    <w:rsid w:val="007A3DB2"/>
    <w:rsid w:val="007B0386"/>
    <w:rsid w:val="007B2CB9"/>
    <w:rsid w:val="007B584F"/>
    <w:rsid w:val="007B606B"/>
    <w:rsid w:val="007C1BCB"/>
    <w:rsid w:val="007C2B5F"/>
    <w:rsid w:val="007C7D40"/>
    <w:rsid w:val="007D04F9"/>
    <w:rsid w:val="007D0DD2"/>
    <w:rsid w:val="007D3B78"/>
    <w:rsid w:val="007D6937"/>
    <w:rsid w:val="007D6FD4"/>
    <w:rsid w:val="007E015A"/>
    <w:rsid w:val="007E02E0"/>
    <w:rsid w:val="007E0AF7"/>
    <w:rsid w:val="007E1E5D"/>
    <w:rsid w:val="007E21BA"/>
    <w:rsid w:val="007E2ABE"/>
    <w:rsid w:val="007E3EA4"/>
    <w:rsid w:val="007E5575"/>
    <w:rsid w:val="007E699E"/>
    <w:rsid w:val="007E6AF8"/>
    <w:rsid w:val="007E7092"/>
    <w:rsid w:val="007E7D24"/>
    <w:rsid w:val="007F11F4"/>
    <w:rsid w:val="007F3FDB"/>
    <w:rsid w:val="007F5A58"/>
    <w:rsid w:val="00800111"/>
    <w:rsid w:val="0080558C"/>
    <w:rsid w:val="00805895"/>
    <w:rsid w:val="00805B4D"/>
    <w:rsid w:val="0080615A"/>
    <w:rsid w:val="008061AA"/>
    <w:rsid w:val="00806926"/>
    <w:rsid w:val="008069F4"/>
    <w:rsid w:val="008129FA"/>
    <w:rsid w:val="00812F9A"/>
    <w:rsid w:val="00813D44"/>
    <w:rsid w:val="00816932"/>
    <w:rsid w:val="008216BD"/>
    <w:rsid w:val="00824C03"/>
    <w:rsid w:val="00824F63"/>
    <w:rsid w:val="00831B4E"/>
    <w:rsid w:val="008326D2"/>
    <w:rsid w:val="008353C1"/>
    <w:rsid w:val="008353F7"/>
    <w:rsid w:val="00837162"/>
    <w:rsid w:val="00837AB5"/>
    <w:rsid w:val="00840B14"/>
    <w:rsid w:val="0084244C"/>
    <w:rsid w:val="00843637"/>
    <w:rsid w:val="00844007"/>
    <w:rsid w:val="00844323"/>
    <w:rsid w:val="00847EDF"/>
    <w:rsid w:val="00856AFE"/>
    <w:rsid w:val="00856B28"/>
    <w:rsid w:val="00857747"/>
    <w:rsid w:val="00857901"/>
    <w:rsid w:val="00860080"/>
    <w:rsid w:val="00866DFC"/>
    <w:rsid w:val="00870CDA"/>
    <w:rsid w:val="00872189"/>
    <w:rsid w:val="00874C2E"/>
    <w:rsid w:val="00876CF4"/>
    <w:rsid w:val="00882068"/>
    <w:rsid w:val="0088319B"/>
    <w:rsid w:val="00884AD0"/>
    <w:rsid w:val="00886EB1"/>
    <w:rsid w:val="0088768B"/>
    <w:rsid w:val="008879F8"/>
    <w:rsid w:val="008901E9"/>
    <w:rsid w:val="00890402"/>
    <w:rsid w:val="00895DF5"/>
    <w:rsid w:val="00895E35"/>
    <w:rsid w:val="008A363B"/>
    <w:rsid w:val="008A38A6"/>
    <w:rsid w:val="008A5562"/>
    <w:rsid w:val="008B2A87"/>
    <w:rsid w:val="008B6563"/>
    <w:rsid w:val="008C2B14"/>
    <w:rsid w:val="008C33DC"/>
    <w:rsid w:val="008C5FC4"/>
    <w:rsid w:val="008C76F5"/>
    <w:rsid w:val="008D2271"/>
    <w:rsid w:val="008D41CB"/>
    <w:rsid w:val="008D47C9"/>
    <w:rsid w:val="008D5806"/>
    <w:rsid w:val="008D5B8E"/>
    <w:rsid w:val="008E1EC1"/>
    <w:rsid w:val="008E28FE"/>
    <w:rsid w:val="008E33B3"/>
    <w:rsid w:val="008E52D3"/>
    <w:rsid w:val="008E59E1"/>
    <w:rsid w:val="008E6232"/>
    <w:rsid w:val="008E79B9"/>
    <w:rsid w:val="008F0685"/>
    <w:rsid w:val="008F118B"/>
    <w:rsid w:val="008F73C0"/>
    <w:rsid w:val="00901ECF"/>
    <w:rsid w:val="00902B03"/>
    <w:rsid w:val="0090556E"/>
    <w:rsid w:val="00907436"/>
    <w:rsid w:val="00907F2A"/>
    <w:rsid w:val="00911CD5"/>
    <w:rsid w:val="00911E7D"/>
    <w:rsid w:val="00912D2C"/>
    <w:rsid w:val="009204E1"/>
    <w:rsid w:val="00920B50"/>
    <w:rsid w:val="00921ED9"/>
    <w:rsid w:val="00925B56"/>
    <w:rsid w:val="00925F52"/>
    <w:rsid w:val="00926886"/>
    <w:rsid w:val="00935CBE"/>
    <w:rsid w:val="00935E32"/>
    <w:rsid w:val="00935F06"/>
    <w:rsid w:val="00940BD7"/>
    <w:rsid w:val="009430B1"/>
    <w:rsid w:val="00944753"/>
    <w:rsid w:val="0094748F"/>
    <w:rsid w:val="009476F9"/>
    <w:rsid w:val="009524B5"/>
    <w:rsid w:val="00952594"/>
    <w:rsid w:val="009528C1"/>
    <w:rsid w:val="00952EA4"/>
    <w:rsid w:val="0095578D"/>
    <w:rsid w:val="00960D1B"/>
    <w:rsid w:val="00962058"/>
    <w:rsid w:val="00970E51"/>
    <w:rsid w:val="009716B0"/>
    <w:rsid w:val="009717DD"/>
    <w:rsid w:val="0097273F"/>
    <w:rsid w:val="00976CA2"/>
    <w:rsid w:val="0098065A"/>
    <w:rsid w:val="00980B0D"/>
    <w:rsid w:val="009818B6"/>
    <w:rsid w:val="00981982"/>
    <w:rsid w:val="00984507"/>
    <w:rsid w:val="00995BAC"/>
    <w:rsid w:val="0099687F"/>
    <w:rsid w:val="009A1925"/>
    <w:rsid w:val="009A4324"/>
    <w:rsid w:val="009A48DC"/>
    <w:rsid w:val="009A6395"/>
    <w:rsid w:val="009A79CD"/>
    <w:rsid w:val="009B40B6"/>
    <w:rsid w:val="009B5B50"/>
    <w:rsid w:val="009B638B"/>
    <w:rsid w:val="009B66A2"/>
    <w:rsid w:val="009C0B9E"/>
    <w:rsid w:val="009C14A4"/>
    <w:rsid w:val="009C47AB"/>
    <w:rsid w:val="009C4ABC"/>
    <w:rsid w:val="009C50CB"/>
    <w:rsid w:val="009C7F3D"/>
    <w:rsid w:val="009D4592"/>
    <w:rsid w:val="009D4603"/>
    <w:rsid w:val="009D4730"/>
    <w:rsid w:val="009D4769"/>
    <w:rsid w:val="009D48D8"/>
    <w:rsid w:val="009D5624"/>
    <w:rsid w:val="009D5895"/>
    <w:rsid w:val="009D6049"/>
    <w:rsid w:val="009E1F91"/>
    <w:rsid w:val="009E5AB9"/>
    <w:rsid w:val="009E6A7F"/>
    <w:rsid w:val="009F129B"/>
    <w:rsid w:val="009F224C"/>
    <w:rsid w:val="009F46C3"/>
    <w:rsid w:val="00A046F1"/>
    <w:rsid w:val="00A04A00"/>
    <w:rsid w:val="00A066D3"/>
    <w:rsid w:val="00A1461B"/>
    <w:rsid w:val="00A15BEC"/>
    <w:rsid w:val="00A21C44"/>
    <w:rsid w:val="00A2252E"/>
    <w:rsid w:val="00A27567"/>
    <w:rsid w:val="00A27771"/>
    <w:rsid w:val="00A31D93"/>
    <w:rsid w:val="00A32CB9"/>
    <w:rsid w:val="00A34492"/>
    <w:rsid w:val="00A34725"/>
    <w:rsid w:val="00A40279"/>
    <w:rsid w:val="00A42A46"/>
    <w:rsid w:val="00A42D1C"/>
    <w:rsid w:val="00A44077"/>
    <w:rsid w:val="00A441DA"/>
    <w:rsid w:val="00A46B64"/>
    <w:rsid w:val="00A47A96"/>
    <w:rsid w:val="00A47F34"/>
    <w:rsid w:val="00A52483"/>
    <w:rsid w:val="00A5377F"/>
    <w:rsid w:val="00A540F3"/>
    <w:rsid w:val="00A55606"/>
    <w:rsid w:val="00A55B9C"/>
    <w:rsid w:val="00A55DF7"/>
    <w:rsid w:val="00A56E0E"/>
    <w:rsid w:val="00A61CBD"/>
    <w:rsid w:val="00A63166"/>
    <w:rsid w:val="00A6363D"/>
    <w:rsid w:val="00A641A1"/>
    <w:rsid w:val="00A65216"/>
    <w:rsid w:val="00A70FA0"/>
    <w:rsid w:val="00A74A9C"/>
    <w:rsid w:val="00A753D6"/>
    <w:rsid w:val="00A75CC3"/>
    <w:rsid w:val="00A7710D"/>
    <w:rsid w:val="00A77508"/>
    <w:rsid w:val="00A81380"/>
    <w:rsid w:val="00A81F9A"/>
    <w:rsid w:val="00A86BAD"/>
    <w:rsid w:val="00A927D0"/>
    <w:rsid w:val="00A943B2"/>
    <w:rsid w:val="00AA23C3"/>
    <w:rsid w:val="00AA405E"/>
    <w:rsid w:val="00AB049A"/>
    <w:rsid w:val="00AB2B34"/>
    <w:rsid w:val="00AB3302"/>
    <w:rsid w:val="00AC1525"/>
    <w:rsid w:val="00AC1611"/>
    <w:rsid w:val="00AC197B"/>
    <w:rsid w:val="00AC1A89"/>
    <w:rsid w:val="00AC35DD"/>
    <w:rsid w:val="00AC47E2"/>
    <w:rsid w:val="00AC7DF2"/>
    <w:rsid w:val="00AD387F"/>
    <w:rsid w:val="00AD5E60"/>
    <w:rsid w:val="00AD6FB1"/>
    <w:rsid w:val="00AE2905"/>
    <w:rsid w:val="00AE4700"/>
    <w:rsid w:val="00AE55A7"/>
    <w:rsid w:val="00AF1376"/>
    <w:rsid w:val="00AF2868"/>
    <w:rsid w:val="00AF3293"/>
    <w:rsid w:val="00AF3B46"/>
    <w:rsid w:val="00AF678C"/>
    <w:rsid w:val="00B00847"/>
    <w:rsid w:val="00B07026"/>
    <w:rsid w:val="00B075BD"/>
    <w:rsid w:val="00B10E24"/>
    <w:rsid w:val="00B126F5"/>
    <w:rsid w:val="00B13FAA"/>
    <w:rsid w:val="00B157AF"/>
    <w:rsid w:val="00B23561"/>
    <w:rsid w:val="00B23FFC"/>
    <w:rsid w:val="00B24A7C"/>
    <w:rsid w:val="00B25090"/>
    <w:rsid w:val="00B31FFF"/>
    <w:rsid w:val="00B36292"/>
    <w:rsid w:val="00B40F07"/>
    <w:rsid w:val="00B423BC"/>
    <w:rsid w:val="00B46B73"/>
    <w:rsid w:val="00B47EC2"/>
    <w:rsid w:val="00B50463"/>
    <w:rsid w:val="00B53540"/>
    <w:rsid w:val="00B540C2"/>
    <w:rsid w:val="00B55240"/>
    <w:rsid w:val="00B55428"/>
    <w:rsid w:val="00B57589"/>
    <w:rsid w:val="00B65D1A"/>
    <w:rsid w:val="00B65E6D"/>
    <w:rsid w:val="00B70024"/>
    <w:rsid w:val="00B70323"/>
    <w:rsid w:val="00B72FF9"/>
    <w:rsid w:val="00B77C02"/>
    <w:rsid w:val="00B807F1"/>
    <w:rsid w:val="00B914B6"/>
    <w:rsid w:val="00B919E0"/>
    <w:rsid w:val="00B92213"/>
    <w:rsid w:val="00B9254D"/>
    <w:rsid w:val="00B92A22"/>
    <w:rsid w:val="00B935D3"/>
    <w:rsid w:val="00B95027"/>
    <w:rsid w:val="00B962B4"/>
    <w:rsid w:val="00B96A6D"/>
    <w:rsid w:val="00B97FAD"/>
    <w:rsid w:val="00BA08D7"/>
    <w:rsid w:val="00BA14C7"/>
    <w:rsid w:val="00BA1D83"/>
    <w:rsid w:val="00BA1FA5"/>
    <w:rsid w:val="00BA3AD1"/>
    <w:rsid w:val="00BB09FF"/>
    <w:rsid w:val="00BB4061"/>
    <w:rsid w:val="00BB42E2"/>
    <w:rsid w:val="00BB5658"/>
    <w:rsid w:val="00BC0C7C"/>
    <w:rsid w:val="00BC398C"/>
    <w:rsid w:val="00BC446D"/>
    <w:rsid w:val="00BD1436"/>
    <w:rsid w:val="00BD3AAC"/>
    <w:rsid w:val="00BD406E"/>
    <w:rsid w:val="00BD5A72"/>
    <w:rsid w:val="00BE0B37"/>
    <w:rsid w:val="00BE1CB0"/>
    <w:rsid w:val="00BE1D77"/>
    <w:rsid w:val="00BE2887"/>
    <w:rsid w:val="00BE7DED"/>
    <w:rsid w:val="00BF0462"/>
    <w:rsid w:val="00BF140A"/>
    <w:rsid w:val="00BF7889"/>
    <w:rsid w:val="00C00839"/>
    <w:rsid w:val="00C05B81"/>
    <w:rsid w:val="00C121A2"/>
    <w:rsid w:val="00C12CF4"/>
    <w:rsid w:val="00C13028"/>
    <w:rsid w:val="00C140CA"/>
    <w:rsid w:val="00C17C3F"/>
    <w:rsid w:val="00C20133"/>
    <w:rsid w:val="00C22477"/>
    <w:rsid w:val="00C30850"/>
    <w:rsid w:val="00C34140"/>
    <w:rsid w:val="00C36C62"/>
    <w:rsid w:val="00C37399"/>
    <w:rsid w:val="00C403F9"/>
    <w:rsid w:val="00C404C0"/>
    <w:rsid w:val="00C40D93"/>
    <w:rsid w:val="00C43CA1"/>
    <w:rsid w:val="00C45C0A"/>
    <w:rsid w:val="00C5275A"/>
    <w:rsid w:val="00C54863"/>
    <w:rsid w:val="00C571C6"/>
    <w:rsid w:val="00C60599"/>
    <w:rsid w:val="00C635FC"/>
    <w:rsid w:val="00C64BCA"/>
    <w:rsid w:val="00C668D4"/>
    <w:rsid w:val="00C67D90"/>
    <w:rsid w:val="00C70216"/>
    <w:rsid w:val="00C72803"/>
    <w:rsid w:val="00C81939"/>
    <w:rsid w:val="00C90003"/>
    <w:rsid w:val="00C90186"/>
    <w:rsid w:val="00C9082D"/>
    <w:rsid w:val="00C90EA6"/>
    <w:rsid w:val="00C93019"/>
    <w:rsid w:val="00C945C9"/>
    <w:rsid w:val="00CA2E06"/>
    <w:rsid w:val="00CA2E4E"/>
    <w:rsid w:val="00CA3356"/>
    <w:rsid w:val="00CA76C4"/>
    <w:rsid w:val="00CA7C5C"/>
    <w:rsid w:val="00CB41C2"/>
    <w:rsid w:val="00CB4A19"/>
    <w:rsid w:val="00CC4F65"/>
    <w:rsid w:val="00CC7294"/>
    <w:rsid w:val="00CD0F49"/>
    <w:rsid w:val="00CD1C7C"/>
    <w:rsid w:val="00CD2EDC"/>
    <w:rsid w:val="00CD6E9F"/>
    <w:rsid w:val="00CE1C20"/>
    <w:rsid w:val="00CE479D"/>
    <w:rsid w:val="00CF0A7E"/>
    <w:rsid w:val="00CF0D0D"/>
    <w:rsid w:val="00CF192B"/>
    <w:rsid w:val="00CF4F22"/>
    <w:rsid w:val="00CF7910"/>
    <w:rsid w:val="00D017C3"/>
    <w:rsid w:val="00D07473"/>
    <w:rsid w:val="00D17C66"/>
    <w:rsid w:val="00D203D9"/>
    <w:rsid w:val="00D218F2"/>
    <w:rsid w:val="00D22CE8"/>
    <w:rsid w:val="00D22E00"/>
    <w:rsid w:val="00D245E0"/>
    <w:rsid w:val="00D2516F"/>
    <w:rsid w:val="00D26085"/>
    <w:rsid w:val="00D312CF"/>
    <w:rsid w:val="00D36786"/>
    <w:rsid w:val="00D367ED"/>
    <w:rsid w:val="00D36A37"/>
    <w:rsid w:val="00D41233"/>
    <w:rsid w:val="00D45A02"/>
    <w:rsid w:val="00D50D87"/>
    <w:rsid w:val="00D52CF6"/>
    <w:rsid w:val="00D54E8E"/>
    <w:rsid w:val="00D618BB"/>
    <w:rsid w:val="00D65C52"/>
    <w:rsid w:val="00D77CB6"/>
    <w:rsid w:val="00D80AA6"/>
    <w:rsid w:val="00D83873"/>
    <w:rsid w:val="00D8532E"/>
    <w:rsid w:val="00D85391"/>
    <w:rsid w:val="00D8643E"/>
    <w:rsid w:val="00D906F3"/>
    <w:rsid w:val="00D90C6E"/>
    <w:rsid w:val="00D92C0B"/>
    <w:rsid w:val="00D94819"/>
    <w:rsid w:val="00D949C8"/>
    <w:rsid w:val="00D95688"/>
    <w:rsid w:val="00D97D0A"/>
    <w:rsid w:val="00DA480D"/>
    <w:rsid w:val="00DA6B5E"/>
    <w:rsid w:val="00DB1FA9"/>
    <w:rsid w:val="00DB49A2"/>
    <w:rsid w:val="00DB4CB5"/>
    <w:rsid w:val="00DC6BA7"/>
    <w:rsid w:val="00DD0A32"/>
    <w:rsid w:val="00DD4D39"/>
    <w:rsid w:val="00DD61F4"/>
    <w:rsid w:val="00DE2614"/>
    <w:rsid w:val="00DE2A4F"/>
    <w:rsid w:val="00DE2F86"/>
    <w:rsid w:val="00DE4778"/>
    <w:rsid w:val="00DE47F5"/>
    <w:rsid w:val="00DE4DD4"/>
    <w:rsid w:val="00DE6E93"/>
    <w:rsid w:val="00DE7C9F"/>
    <w:rsid w:val="00DF0ECA"/>
    <w:rsid w:val="00DF1E65"/>
    <w:rsid w:val="00DF7ADE"/>
    <w:rsid w:val="00E0272B"/>
    <w:rsid w:val="00E07211"/>
    <w:rsid w:val="00E10283"/>
    <w:rsid w:val="00E105FE"/>
    <w:rsid w:val="00E1190F"/>
    <w:rsid w:val="00E144AC"/>
    <w:rsid w:val="00E1467F"/>
    <w:rsid w:val="00E168F5"/>
    <w:rsid w:val="00E17E10"/>
    <w:rsid w:val="00E2051B"/>
    <w:rsid w:val="00E21010"/>
    <w:rsid w:val="00E21CC9"/>
    <w:rsid w:val="00E255E7"/>
    <w:rsid w:val="00E27C1A"/>
    <w:rsid w:val="00E27D17"/>
    <w:rsid w:val="00E31458"/>
    <w:rsid w:val="00E337C8"/>
    <w:rsid w:val="00E33809"/>
    <w:rsid w:val="00E3647A"/>
    <w:rsid w:val="00E461DC"/>
    <w:rsid w:val="00E46470"/>
    <w:rsid w:val="00E513AE"/>
    <w:rsid w:val="00E53494"/>
    <w:rsid w:val="00E562AB"/>
    <w:rsid w:val="00E601CC"/>
    <w:rsid w:val="00E632EA"/>
    <w:rsid w:val="00E65CA9"/>
    <w:rsid w:val="00E71858"/>
    <w:rsid w:val="00E71A96"/>
    <w:rsid w:val="00E76BB8"/>
    <w:rsid w:val="00E81625"/>
    <w:rsid w:val="00E817AA"/>
    <w:rsid w:val="00E81D92"/>
    <w:rsid w:val="00E84730"/>
    <w:rsid w:val="00E84A4A"/>
    <w:rsid w:val="00E91760"/>
    <w:rsid w:val="00E94306"/>
    <w:rsid w:val="00EA3BAF"/>
    <w:rsid w:val="00EB01C2"/>
    <w:rsid w:val="00EB1205"/>
    <w:rsid w:val="00EB23B9"/>
    <w:rsid w:val="00EB33D2"/>
    <w:rsid w:val="00EB3D0F"/>
    <w:rsid w:val="00EC0777"/>
    <w:rsid w:val="00EC3D51"/>
    <w:rsid w:val="00EC46C7"/>
    <w:rsid w:val="00ED30F2"/>
    <w:rsid w:val="00ED4478"/>
    <w:rsid w:val="00ED686A"/>
    <w:rsid w:val="00ED718D"/>
    <w:rsid w:val="00EE0A3B"/>
    <w:rsid w:val="00EE15B4"/>
    <w:rsid w:val="00EF292A"/>
    <w:rsid w:val="00EF703A"/>
    <w:rsid w:val="00F00FD3"/>
    <w:rsid w:val="00F01175"/>
    <w:rsid w:val="00F0546F"/>
    <w:rsid w:val="00F06744"/>
    <w:rsid w:val="00F14001"/>
    <w:rsid w:val="00F157F0"/>
    <w:rsid w:val="00F16596"/>
    <w:rsid w:val="00F22EF5"/>
    <w:rsid w:val="00F265A5"/>
    <w:rsid w:val="00F2719D"/>
    <w:rsid w:val="00F27504"/>
    <w:rsid w:val="00F27626"/>
    <w:rsid w:val="00F3079E"/>
    <w:rsid w:val="00F31CDB"/>
    <w:rsid w:val="00F3686A"/>
    <w:rsid w:val="00F40654"/>
    <w:rsid w:val="00F44A09"/>
    <w:rsid w:val="00F45339"/>
    <w:rsid w:val="00F459C4"/>
    <w:rsid w:val="00F50A35"/>
    <w:rsid w:val="00F5135D"/>
    <w:rsid w:val="00F52AA6"/>
    <w:rsid w:val="00F53553"/>
    <w:rsid w:val="00F53C9F"/>
    <w:rsid w:val="00F548E0"/>
    <w:rsid w:val="00F54EFD"/>
    <w:rsid w:val="00F62EFD"/>
    <w:rsid w:val="00F662FC"/>
    <w:rsid w:val="00F66451"/>
    <w:rsid w:val="00F66677"/>
    <w:rsid w:val="00F70590"/>
    <w:rsid w:val="00F748F8"/>
    <w:rsid w:val="00F776C2"/>
    <w:rsid w:val="00F86514"/>
    <w:rsid w:val="00F87630"/>
    <w:rsid w:val="00F956E6"/>
    <w:rsid w:val="00F95FE2"/>
    <w:rsid w:val="00F96D58"/>
    <w:rsid w:val="00FA02BE"/>
    <w:rsid w:val="00FA1566"/>
    <w:rsid w:val="00FA7D27"/>
    <w:rsid w:val="00FB2276"/>
    <w:rsid w:val="00FB2636"/>
    <w:rsid w:val="00FC3230"/>
    <w:rsid w:val="00FC4AD6"/>
    <w:rsid w:val="00FC65CD"/>
    <w:rsid w:val="00FD015E"/>
    <w:rsid w:val="00FD26D3"/>
    <w:rsid w:val="00FD7240"/>
    <w:rsid w:val="00FE20DD"/>
    <w:rsid w:val="00FE2135"/>
    <w:rsid w:val="00FE4A0B"/>
    <w:rsid w:val="00FE6DEA"/>
    <w:rsid w:val="00FF3BE7"/>
    <w:rsid w:val="00FF4EC7"/>
    <w:rsid w:val="00FF588B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CA95D"/>
  <w15:chartTrackingRefBased/>
  <w15:docId w15:val="{1FC19AB2-2483-4A88-B725-1C75ACAA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22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C152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BD14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D143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D1436"/>
    <w:pPr>
      <w:keepNext/>
      <w:spacing w:before="240" w:after="60"/>
      <w:outlineLvl w:val="3"/>
    </w:pPr>
    <w:rPr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D1436"/>
    <w:pPr>
      <w:spacing w:before="240" w:after="60"/>
      <w:outlineLvl w:val="4"/>
    </w:pPr>
    <w:rPr>
      <w:rFonts w:ascii="Futura Bk BT" w:hAnsi="Futura Bk BT"/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0839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rsid w:val="00C00839"/>
  </w:style>
  <w:style w:type="paragraph" w:styleId="Piedepgina">
    <w:name w:val="footer"/>
    <w:basedOn w:val="Normal"/>
    <w:link w:val="PiedepginaCar"/>
    <w:uiPriority w:val="99"/>
    <w:unhideWhenUsed/>
    <w:rsid w:val="00C00839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0839"/>
  </w:style>
  <w:style w:type="paragraph" w:styleId="Textodeglobo">
    <w:name w:val="Balloon Text"/>
    <w:basedOn w:val="Normal"/>
    <w:link w:val="TextodegloboCar"/>
    <w:uiPriority w:val="99"/>
    <w:semiHidden/>
    <w:unhideWhenUsed/>
    <w:rsid w:val="00C0083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008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59C4"/>
    <w:pPr>
      <w:ind w:left="720"/>
    </w:pPr>
  </w:style>
  <w:style w:type="character" w:customStyle="1" w:styleId="Ttulo1Car">
    <w:name w:val="Título 1 Car"/>
    <w:link w:val="Ttulo1"/>
    <w:rsid w:val="00AC1525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AC1525"/>
    <w:pPr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link w:val="Textoindependiente"/>
    <w:rsid w:val="00AC1525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A1D8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1D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D143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D14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BD143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BD14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link w:val="Ttulo2"/>
    <w:rsid w:val="00BD1436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rsid w:val="00BD143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rsid w:val="00BD1436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rsid w:val="00BD1436"/>
    <w:rPr>
      <w:rFonts w:ascii="Futura Bk BT" w:eastAsia="Times New Roman" w:hAnsi="Futura Bk BT" w:cs="Times New Roman"/>
      <w:b/>
      <w:bCs/>
      <w:i/>
      <w:iCs/>
      <w:sz w:val="26"/>
      <w:szCs w:val="26"/>
      <w:lang w:val="es-ES_tradnl" w:eastAsia="es-ES"/>
    </w:rPr>
  </w:style>
  <w:style w:type="paragraph" w:customStyle="1" w:styleId="Normal1">
    <w:name w:val="Normal1"/>
    <w:rsid w:val="00BD1436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Ttulo11">
    <w:name w:val="Título 11"/>
    <w:basedOn w:val="Normal1"/>
    <w:next w:val="Normal1"/>
    <w:rsid w:val="00BD1436"/>
    <w:pPr>
      <w:tabs>
        <w:tab w:val="left" w:pos="0"/>
      </w:tabs>
      <w:jc w:val="center"/>
    </w:pPr>
    <w:rPr>
      <w:b/>
      <w:u w:val="single"/>
      <w:lang w:val="es-ES_tradnl"/>
    </w:rPr>
  </w:style>
  <w:style w:type="paragraph" w:customStyle="1" w:styleId="Sangra2detindependien">
    <w:name w:val="Sangría 2 de t. independien"/>
    <w:basedOn w:val="Normal1"/>
    <w:rsid w:val="00BD1436"/>
    <w:pPr>
      <w:tabs>
        <w:tab w:val="left" w:pos="-142"/>
        <w:tab w:val="left" w:pos="142"/>
        <w:tab w:val="left" w:pos="1560"/>
      </w:tabs>
      <w:ind w:left="1418" w:hanging="1418"/>
      <w:jc w:val="both"/>
    </w:pPr>
    <w:rPr>
      <w:rFonts w:ascii="Lucida Casual" w:hAnsi="Lucida Casual"/>
      <w:lang w:val="es-ES_tradnl"/>
    </w:rPr>
  </w:style>
  <w:style w:type="paragraph" w:customStyle="1" w:styleId="Style2">
    <w:name w:val="Style 2"/>
    <w:basedOn w:val="Normal"/>
    <w:link w:val="Style2Car"/>
    <w:rsid w:val="00BD1436"/>
    <w:pPr>
      <w:widowControl w:val="0"/>
    </w:pPr>
    <w:rPr>
      <w:noProof/>
      <w:color w:val="000000"/>
    </w:rPr>
  </w:style>
  <w:style w:type="character" w:customStyle="1" w:styleId="Style2Car">
    <w:name w:val="Style 2 Car"/>
    <w:link w:val="Style2"/>
    <w:rsid w:val="00BD1436"/>
    <w:rPr>
      <w:rFonts w:ascii="Times New Roman" w:eastAsia="Times New Roman" w:hAnsi="Times New Roman" w:cs="Times New Roman"/>
      <w:noProof/>
      <w:color w:val="000000"/>
      <w:sz w:val="20"/>
      <w:szCs w:val="20"/>
      <w:lang w:val="es-ES" w:eastAsia="es-ES"/>
    </w:rPr>
  </w:style>
  <w:style w:type="paragraph" w:customStyle="1" w:styleId="Ttulo61">
    <w:name w:val="Título 61"/>
    <w:basedOn w:val="Normal"/>
    <w:next w:val="Normal"/>
    <w:rsid w:val="00BD1436"/>
    <w:pPr>
      <w:widowControl w:val="0"/>
    </w:pPr>
    <w:rPr>
      <w:sz w:val="24"/>
      <w:lang w:val="en-US"/>
    </w:rPr>
  </w:style>
  <w:style w:type="character" w:styleId="Hipervnculo">
    <w:name w:val="Hyperlink"/>
    <w:rsid w:val="00BD1436"/>
    <w:rPr>
      <w:color w:val="0000FF"/>
      <w:u w:val="single"/>
    </w:rPr>
  </w:style>
  <w:style w:type="character" w:customStyle="1" w:styleId="formcampos2">
    <w:name w:val="formcampos2"/>
    <w:rsid w:val="00907436"/>
    <w:rPr>
      <w:sz w:val="20"/>
      <w:szCs w:val="20"/>
    </w:rPr>
  </w:style>
  <w:style w:type="paragraph" w:customStyle="1" w:styleId="Estilo">
    <w:name w:val="Estilo"/>
    <w:basedOn w:val="Normal"/>
    <w:rsid w:val="00F0546F"/>
    <w:pPr>
      <w:autoSpaceDE w:val="0"/>
      <w:autoSpaceDN w:val="0"/>
    </w:pPr>
    <w:rPr>
      <w:rFonts w:ascii="Arial" w:eastAsia="Calibri" w:hAnsi="Arial" w:cs="Arial"/>
      <w:sz w:val="24"/>
      <w:szCs w:val="24"/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4471"/>
  </w:style>
  <w:style w:type="character" w:customStyle="1" w:styleId="TextonotaalfinalCar">
    <w:name w:val="Texto nota al final Car"/>
    <w:link w:val="Textonotaalfinal"/>
    <w:uiPriority w:val="99"/>
    <w:semiHidden/>
    <w:rsid w:val="00794471"/>
    <w:rPr>
      <w:rFonts w:ascii="Times New Roman" w:eastAsia="Times New Roman" w:hAnsi="Times New Roman"/>
      <w:lang w:val="es-ES" w:eastAsia="es-ES"/>
    </w:rPr>
  </w:style>
  <w:style w:type="character" w:styleId="Refdenotaalfinal">
    <w:name w:val="endnote reference"/>
    <w:uiPriority w:val="99"/>
    <w:semiHidden/>
    <w:unhideWhenUsed/>
    <w:rsid w:val="0079447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F7ADE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Fuerte">
    <w:name w:val="Strong"/>
    <w:uiPriority w:val="22"/>
    <w:qFormat/>
    <w:rsid w:val="00DF7ADE"/>
    <w:rPr>
      <w:b/>
      <w:bCs/>
    </w:rPr>
  </w:style>
  <w:style w:type="character" w:styleId="Mencinsinresolver">
    <w:name w:val="Unresolved Mention"/>
    <w:uiPriority w:val="99"/>
    <w:semiHidden/>
    <w:unhideWhenUsed/>
    <w:rsid w:val="007935AF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4C7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7490"/>
  </w:style>
  <w:style w:type="character" w:customStyle="1" w:styleId="TextocomentarioCar">
    <w:name w:val="Texto comentario Car"/>
    <w:link w:val="Textocomentario"/>
    <w:uiPriority w:val="99"/>
    <w:rsid w:val="004C749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749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C7490"/>
    <w:rPr>
      <w:rFonts w:ascii="Times New Roman" w:eastAsia="Times New Roman" w:hAnsi="Times New Roman"/>
      <w:b/>
      <w:bCs/>
      <w:lang w:val="es-ES" w:eastAsia="es-ES"/>
    </w:rPr>
  </w:style>
  <w:style w:type="table" w:styleId="Tablaconcuadrcula">
    <w:name w:val="Table Grid"/>
    <w:basedOn w:val="Tablanormal"/>
    <w:uiPriority w:val="39"/>
    <w:rsid w:val="00586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B70024"/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ercadopublico.c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adopublico.c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rcadopublico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rcadopublic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yanez.MINAGRI\Configuraci&#243;n%20local\Archivos%20temporales%20de%20Internet\Content.Outlook\HX4S058P\Plantilla%20Carta%20Logo%20Gobierno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1b4656-7762-4d71-ad1e-b647ea6002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3512710BD374A85A882EB6126BED1" ma:contentTypeVersion="18" ma:contentTypeDescription="Create a new document." ma:contentTypeScope="" ma:versionID="1cb9f259d7dfdaf4888e597f5a52256b">
  <xsd:schema xmlns:xsd="http://www.w3.org/2001/XMLSchema" xmlns:xs="http://www.w3.org/2001/XMLSchema" xmlns:p="http://schemas.microsoft.com/office/2006/metadata/properties" xmlns:ns3="f71b4656-7762-4d71-ad1e-b647ea6002d2" xmlns:ns4="437c8b4d-24c2-4fd4-a44d-ad0be244fae8" targetNamespace="http://schemas.microsoft.com/office/2006/metadata/properties" ma:root="true" ma:fieldsID="4cd121927ef06aa49e90990c77249154" ns3:_="" ns4:_="">
    <xsd:import namespace="f71b4656-7762-4d71-ad1e-b647ea6002d2"/>
    <xsd:import namespace="437c8b4d-24c2-4fd4-a44d-ad0be244fa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b4656-7762-4d71-ad1e-b647ea600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c8b4d-24c2-4fd4-a44d-ad0be244f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0DAA-9386-40E4-AEF6-4E8BE66B2640}">
  <ds:schemaRefs>
    <ds:schemaRef ds:uri="http://schemas.microsoft.com/office/2006/metadata/properties"/>
    <ds:schemaRef ds:uri="http://schemas.microsoft.com/office/infopath/2007/PartnerControls"/>
    <ds:schemaRef ds:uri="f71b4656-7762-4d71-ad1e-b647ea6002d2"/>
  </ds:schemaRefs>
</ds:datastoreItem>
</file>

<file path=customXml/itemProps2.xml><?xml version="1.0" encoding="utf-8"?>
<ds:datastoreItem xmlns:ds="http://schemas.openxmlformats.org/officeDocument/2006/customXml" ds:itemID="{EC8999D4-A761-4321-BED0-E96922645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C744F-E0D9-4A97-9855-3DAE40A61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b4656-7762-4d71-ad1e-b647ea6002d2"/>
    <ds:schemaRef ds:uri="437c8b4d-24c2-4fd4-a44d-ad0be244f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76D94-EB80-4699-B93E-2CB07FCF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Logo Gobierno (2)</Template>
  <TotalTime>6</TotalTime>
  <Pages>8</Pages>
  <Words>2152</Words>
  <Characters>11583</Characters>
  <Application>Microsoft Office Word</Application>
  <DocSecurity>0</DocSecurity>
  <Lines>351</Lines>
  <Paragraphs>143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Subsecretaria del Ministerio de Agricultura</Company>
  <LinksUpToDate>false</LinksUpToDate>
  <CharactersWithSpaces>13592</CharactersWithSpaces>
  <SharedDoc>false</SharedDoc>
  <HLinks>
    <vt:vector size="30" baseType="variant">
      <vt:variant>
        <vt:i4>131141</vt:i4>
      </vt:variant>
      <vt:variant>
        <vt:i4>12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mailto:compras@minagri.gob.cl</vt:lpwstr>
      </vt:variant>
      <vt:variant>
        <vt:lpwstr/>
      </vt:variant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5111923</vt:i4>
      </vt:variant>
      <vt:variant>
        <vt:i4>3</vt:i4>
      </vt:variant>
      <vt:variant>
        <vt:i4>0</vt:i4>
      </vt:variant>
      <vt:variant>
        <vt:i4>5</vt:i4>
      </vt:variant>
      <vt:variant>
        <vt:lpwstr>mailto:carolina.huanca@minagri.gob.cl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cyanez</dc:creator>
  <cp:keywords/>
  <cp:lastModifiedBy>Santiago Santelices</cp:lastModifiedBy>
  <cp:revision>2</cp:revision>
  <cp:lastPrinted>2024-06-28T20:14:00Z</cp:lastPrinted>
  <dcterms:created xsi:type="dcterms:W3CDTF">2026-03-27T14:49:00Z</dcterms:created>
  <dcterms:modified xsi:type="dcterms:W3CDTF">2026-03-27T14:49:00Z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0x0101009783512710BD374A85A882EB6126BED1</vt:lpwstr>
  </property>
</Properties>
</file>